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仿宋_GB2312" w:hAnsi="宋体" w:eastAsia="仿宋_GB2312"/>
          <w:sz w:val="32"/>
          <w:szCs w:val="32"/>
        </w:rPr>
      </w:pPr>
      <w:r>
        <w:rPr>
          <w:rFonts w:ascii="仿宋_GB2312" w:hAnsi="宋体" w:eastAsia="仿宋_GB2312"/>
          <w:sz w:val="32"/>
          <w:szCs w:val="32"/>
        </w:rPr>
        <w:drawing>
          <wp:inline distT="0" distB="0" distL="0" distR="0">
            <wp:extent cx="899795" cy="899795"/>
            <wp:effectExtent l="0" t="0" r="0" b="0"/>
            <wp:docPr id="9" name="图片 9" descr="H:\校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校标.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00000" cy="900000"/>
                    </a:xfrm>
                    <a:prstGeom prst="rect">
                      <a:avLst/>
                    </a:prstGeom>
                    <a:noFill/>
                    <a:ln>
                      <a:noFill/>
                    </a:ln>
                  </pic:spPr>
                </pic:pic>
              </a:graphicData>
            </a:graphic>
          </wp:inline>
        </w:drawing>
      </w:r>
    </w:p>
    <w:p>
      <w:pPr>
        <w:spacing w:line="360" w:lineRule="auto"/>
        <w:jc w:val="center"/>
        <w:rPr>
          <w:rFonts w:ascii="黑体" w:hAnsi="黑体" w:eastAsia="黑体"/>
          <w:b/>
          <w:sz w:val="36"/>
          <w:szCs w:val="36"/>
        </w:rPr>
      </w:pPr>
    </w:p>
    <w:p>
      <w:pPr>
        <w:spacing w:line="720" w:lineRule="auto"/>
        <w:jc w:val="center"/>
        <w:rPr>
          <w:rFonts w:ascii="黑体" w:hAnsi="黑体" w:eastAsia="黑体"/>
          <w:b/>
          <w:sz w:val="36"/>
          <w:szCs w:val="36"/>
        </w:rPr>
      </w:pPr>
      <w:r>
        <w:rPr>
          <w:rFonts w:hint="eastAsia" w:ascii="黑体" w:hAnsi="黑体" w:eastAsia="黑体"/>
          <w:b/>
          <w:sz w:val="36"/>
          <w:szCs w:val="36"/>
        </w:rPr>
        <w:t>四川省资中县职业技术学校</w:t>
      </w:r>
    </w:p>
    <w:p>
      <w:pPr>
        <w:spacing w:line="720" w:lineRule="auto"/>
        <w:jc w:val="center"/>
        <w:rPr>
          <w:rFonts w:ascii="黑体" w:hAnsi="黑体" w:eastAsia="黑体"/>
          <w:sz w:val="72"/>
          <w:szCs w:val="72"/>
        </w:rPr>
      </w:pPr>
    </w:p>
    <w:p>
      <w:pPr>
        <w:spacing w:line="360" w:lineRule="auto"/>
        <w:jc w:val="center"/>
        <w:rPr>
          <w:rFonts w:ascii="黑体" w:hAnsi="黑体" w:eastAsia="黑体"/>
          <w:sz w:val="72"/>
          <w:szCs w:val="72"/>
        </w:rPr>
      </w:pPr>
    </w:p>
    <w:p>
      <w:pPr>
        <w:spacing w:line="360" w:lineRule="auto"/>
        <w:jc w:val="center"/>
        <w:rPr>
          <w:rFonts w:ascii="黑体" w:hAnsi="黑体" w:eastAsia="黑体"/>
          <w:sz w:val="72"/>
          <w:szCs w:val="72"/>
        </w:rPr>
      </w:pPr>
    </w:p>
    <w:p>
      <w:pPr>
        <w:spacing w:line="360" w:lineRule="auto"/>
        <w:jc w:val="center"/>
        <w:rPr>
          <w:rFonts w:ascii="黑体" w:hAnsi="黑体" w:eastAsia="黑体"/>
          <w:sz w:val="72"/>
          <w:szCs w:val="72"/>
        </w:rPr>
      </w:pPr>
    </w:p>
    <w:p>
      <w:pPr>
        <w:spacing w:line="360" w:lineRule="auto"/>
        <w:jc w:val="center"/>
        <w:rPr>
          <w:rFonts w:ascii="黑体" w:hAnsi="黑体" w:eastAsia="黑体"/>
          <w:sz w:val="72"/>
          <w:szCs w:val="72"/>
        </w:rPr>
      </w:pPr>
    </w:p>
    <w:p>
      <w:pPr>
        <w:spacing w:line="360" w:lineRule="auto"/>
        <w:jc w:val="center"/>
        <w:rPr>
          <w:rFonts w:ascii="仿宋_GB2312" w:hAnsi="宋体" w:eastAsia="仿宋_GB2312"/>
          <w:b/>
          <w:sz w:val="52"/>
          <w:szCs w:val="52"/>
        </w:rPr>
      </w:pPr>
      <w:r>
        <w:rPr>
          <w:rFonts w:hint="eastAsia" w:ascii="黑体" w:hAnsi="黑体" w:eastAsia="黑体"/>
          <w:b/>
          <w:sz w:val="52"/>
          <w:szCs w:val="52"/>
        </w:rPr>
        <w:t>2019年度质量报告</w:t>
      </w:r>
    </w:p>
    <w:p>
      <w:pPr>
        <w:spacing w:line="700" w:lineRule="exact"/>
        <w:jc w:val="center"/>
        <w:rPr>
          <w:rFonts w:ascii="楷体" w:hAnsi="楷体" w:eastAsia="楷体"/>
          <w:b/>
          <w:sz w:val="36"/>
          <w:szCs w:val="36"/>
        </w:rPr>
      </w:pPr>
    </w:p>
    <w:p>
      <w:pPr>
        <w:spacing w:line="700" w:lineRule="exact"/>
        <w:jc w:val="center"/>
        <w:rPr>
          <w:rFonts w:ascii="楷体" w:hAnsi="楷体" w:eastAsia="楷体"/>
          <w:b/>
          <w:sz w:val="36"/>
          <w:szCs w:val="36"/>
        </w:rPr>
      </w:pPr>
    </w:p>
    <w:p>
      <w:pPr>
        <w:spacing w:line="700" w:lineRule="exact"/>
        <w:jc w:val="center"/>
        <w:rPr>
          <w:rFonts w:ascii="楷体" w:hAnsi="楷体" w:eastAsia="楷体"/>
          <w:b/>
          <w:sz w:val="36"/>
          <w:szCs w:val="36"/>
        </w:rPr>
      </w:pPr>
    </w:p>
    <w:p>
      <w:pPr>
        <w:spacing w:line="700" w:lineRule="exact"/>
        <w:jc w:val="center"/>
        <w:rPr>
          <w:rFonts w:ascii="楷体" w:hAnsi="楷体" w:eastAsia="楷体"/>
          <w:b/>
          <w:sz w:val="36"/>
          <w:szCs w:val="36"/>
        </w:rPr>
      </w:pPr>
    </w:p>
    <w:p>
      <w:pPr>
        <w:spacing w:line="700" w:lineRule="exact"/>
        <w:jc w:val="center"/>
        <w:rPr>
          <w:rFonts w:ascii="宋体" w:hAnsi="Times New Roman"/>
          <w:b/>
          <w:sz w:val="28"/>
          <w:szCs w:val="36"/>
        </w:rPr>
      </w:pPr>
      <w:r>
        <w:rPr>
          <w:rFonts w:hint="eastAsia" w:ascii="黑体" w:hAnsi="黑体" w:eastAsia="黑体"/>
          <w:sz w:val="28"/>
          <w:szCs w:val="28"/>
        </w:rPr>
        <w:t>2020年1月3日</w:t>
      </w:r>
    </w:p>
    <w:p>
      <w:pPr>
        <w:spacing w:before="468" w:beforeLines="150" w:line="520" w:lineRule="exact"/>
        <w:jc w:val="center"/>
        <w:rPr>
          <w:rFonts w:ascii="宋体" w:hAnsi="Times New Roman"/>
          <w:b/>
          <w:sz w:val="28"/>
          <w:szCs w:val="36"/>
        </w:rPr>
      </w:pPr>
    </w:p>
    <w:p>
      <w:pPr>
        <w:jc w:val="center"/>
        <w:rPr>
          <w:rFonts w:asciiTheme="minorEastAsia" w:hAnsiTheme="minorEastAsia" w:eastAsiaTheme="minorEastAsia" w:cstheme="minorEastAsia"/>
          <w:sz w:val="28"/>
          <w:szCs w:val="28"/>
        </w:rPr>
        <w:sectPr>
          <w:footerReference r:id="rId7" w:type="first"/>
          <w:headerReference r:id="rId3" w:type="default"/>
          <w:footerReference r:id="rId5" w:type="default"/>
          <w:headerReference r:id="rId4" w:type="even"/>
          <w:footerReference r:id="rId6" w:type="even"/>
          <w:pgSz w:w="11906" w:h="16838"/>
          <w:pgMar w:top="1440" w:right="1701" w:bottom="1440" w:left="1701" w:header="851" w:footer="992" w:gutter="0"/>
          <w:pgNumType w:start="0"/>
          <w:cols w:space="720" w:num="1"/>
          <w:titlePg/>
          <w:docGrid w:type="lines" w:linePitch="312" w:charSpace="0"/>
        </w:sectPr>
      </w:pPr>
    </w:p>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前 言</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2019 年，按照全国教育大会精神，根据</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国家职业教育改革实施方案</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的要求，落实</w:t>
      </w:r>
      <w:bookmarkStart w:id="70" w:name="_GoBack"/>
      <w:bookmarkEnd w:id="70"/>
      <w:r>
        <w:rPr>
          <w:rFonts w:hint="eastAsia" w:asciiTheme="minorEastAsia" w:hAnsiTheme="minorEastAsia" w:eastAsiaTheme="minorEastAsia" w:cstheme="minorEastAsia"/>
          <w:sz w:val="28"/>
          <w:szCs w:val="28"/>
        </w:rPr>
        <w:t>教育部职成司《关于编制和发布 2019 年度中等职业教育质量报告的通知》（教职成司函[2019]101号）文件精神，资中县职业技术学校开展质量年度报告相关工作，结合学校情况、学生发展、质量保障措施、校企合作、社会贡献、举办者履责、特色创新、主要问题和改进措施、其他等方面内容，形成《四川省资中县职业技术学校2019年度质量报告》，现予以发布。</w:t>
      </w:r>
    </w:p>
    <w:p>
      <w:pPr>
        <w:spacing w:before="468" w:beforeLines="150" w:line="520" w:lineRule="exact"/>
        <w:jc w:val="center"/>
        <w:rPr>
          <w:rFonts w:ascii="宋体" w:hAnsi="Times New Roman"/>
          <w:b/>
          <w:sz w:val="28"/>
          <w:szCs w:val="36"/>
        </w:rPr>
        <w:sectPr>
          <w:pgSz w:w="11906" w:h="16838"/>
          <w:pgMar w:top="1440" w:right="1701" w:bottom="1440" w:left="1701" w:header="851" w:footer="992" w:gutter="0"/>
          <w:pgNumType w:start="0"/>
          <w:cols w:space="720" w:num="1"/>
          <w:titlePg/>
          <w:docGrid w:type="lines" w:linePitch="312" w:charSpace="0"/>
        </w:sectPr>
      </w:pPr>
    </w:p>
    <w:sdt>
      <w:sdtPr>
        <w:rPr>
          <w:b/>
          <w:bCs/>
          <w:lang w:val="zh-CN"/>
        </w:rPr>
        <w:id w:val="-2118046956"/>
        <w:docPartObj>
          <w:docPartGallery w:val="Table of Contents"/>
          <w:docPartUnique/>
        </w:docPartObj>
      </w:sdtPr>
      <w:sdtEndPr>
        <w:rPr>
          <w:rFonts w:ascii="宋体" w:hAnsi="宋体"/>
          <w:b w:val="0"/>
          <w:bCs w:val="0"/>
          <w:sz w:val="24"/>
          <w:szCs w:val="24"/>
          <w:lang w:val="zh-CN"/>
        </w:rPr>
      </w:sdtEndPr>
      <w:sdtContent>
        <w:p>
          <w:pPr>
            <w:jc w:val="center"/>
            <w:rPr>
              <w:rFonts w:ascii="黑体" w:hAnsi="黑体" w:eastAsia="黑体"/>
              <w:b/>
              <w:sz w:val="30"/>
              <w:szCs w:val="30"/>
            </w:rPr>
          </w:pPr>
          <w:r>
            <w:rPr>
              <w:rFonts w:ascii="黑体" w:hAnsi="黑体" w:eastAsia="黑体"/>
              <w:b/>
              <w:sz w:val="30"/>
              <w:szCs w:val="30"/>
              <w:lang w:val="zh-CN"/>
            </w:rPr>
            <w:t>目</w:t>
          </w:r>
          <w:r>
            <w:rPr>
              <w:rFonts w:hint="eastAsia" w:ascii="黑体" w:hAnsi="黑体" w:eastAsia="黑体"/>
              <w:b/>
              <w:sz w:val="30"/>
              <w:szCs w:val="30"/>
              <w:lang w:val="zh-CN"/>
            </w:rPr>
            <w:t xml:space="preserve">  </w:t>
          </w:r>
          <w:r>
            <w:rPr>
              <w:rFonts w:ascii="黑体" w:hAnsi="黑体" w:eastAsia="黑体"/>
              <w:b/>
              <w:sz w:val="30"/>
              <w:szCs w:val="30"/>
              <w:lang w:val="zh-CN"/>
            </w:rPr>
            <w:t>录</w:t>
          </w:r>
        </w:p>
        <w:p>
          <w:pPr>
            <w:pStyle w:val="20"/>
            <w:tabs>
              <w:tab w:val="right" w:leader="dot" w:pos="8296"/>
            </w:tabs>
            <w:rPr>
              <w:rFonts w:asciiTheme="minorHAnsi" w:hAnsiTheme="minorHAnsi" w:eastAsiaTheme="minorEastAsia" w:cstheme="minorBidi"/>
              <w:kern w:val="2"/>
              <w:sz w:val="21"/>
            </w:rPr>
          </w:pPr>
          <w:r>
            <w:rPr>
              <w:rFonts w:ascii="宋体" w:hAnsi="宋体"/>
              <w:sz w:val="24"/>
              <w:szCs w:val="24"/>
            </w:rPr>
            <w:fldChar w:fldCharType="begin"/>
          </w:r>
          <w:r>
            <w:rPr>
              <w:rFonts w:ascii="宋体" w:hAnsi="宋体"/>
              <w:sz w:val="24"/>
              <w:szCs w:val="24"/>
            </w:rPr>
            <w:instrText xml:space="preserve"> TOC \o "1-3" \h \z \u </w:instrText>
          </w:r>
          <w:r>
            <w:rPr>
              <w:rFonts w:ascii="宋体" w:hAnsi="宋体"/>
              <w:sz w:val="24"/>
              <w:szCs w:val="24"/>
            </w:rPr>
            <w:fldChar w:fldCharType="separate"/>
          </w:r>
          <w:r>
            <w:fldChar w:fldCharType="begin"/>
          </w:r>
          <w:r>
            <w:instrText xml:space="preserve"> HYPERLINK \l "_Toc29894688" </w:instrText>
          </w:r>
          <w:r>
            <w:fldChar w:fldCharType="separate"/>
          </w:r>
          <w:r>
            <w:rPr>
              <w:rStyle w:val="36"/>
              <w:rFonts w:hint="eastAsia" w:ascii="黑体" w:hAnsi="黑体" w:eastAsia="黑体"/>
            </w:rPr>
            <w:t>一、学校情况</w:t>
          </w:r>
          <w:r>
            <w:tab/>
          </w:r>
          <w:r>
            <w:fldChar w:fldCharType="begin"/>
          </w:r>
          <w:r>
            <w:instrText xml:space="preserve"> PAGEREF _Toc29894688 \h </w:instrText>
          </w:r>
          <w:r>
            <w:fldChar w:fldCharType="separate"/>
          </w:r>
          <w:r>
            <w:t>3</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"_Toc29894689" </w:instrText>
          </w:r>
          <w:r>
            <w:fldChar w:fldCharType="separate"/>
          </w:r>
          <w:r>
            <w:rPr>
              <w:rStyle w:val="36"/>
              <w:rFonts w:hint="eastAsia" w:ascii="黑体" w:hAnsi="黑体" w:eastAsia="黑体"/>
            </w:rPr>
            <w:t>（一）学校概况</w:t>
          </w:r>
          <w:r>
            <w:tab/>
          </w:r>
          <w:r>
            <w:fldChar w:fldCharType="begin"/>
          </w:r>
          <w:r>
            <w:instrText xml:space="preserve"> PAGEREF _Toc29894689 \h </w:instrText>
          </w:r>
          <w:r>
            <w:fldChar w:fldCharType="separate"/>
          </w:r>
          <w:r>
            <w:t>3</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"_Toc29894690" </w:instrText>
          </w:r>
          <w:r>
            <w:fldChar w:fldCharType="separate"/>
          </w:r>
          <w:r>
            <w:rPr>
              <w:rStyle w:val="36"/>
              <w:rFonts w:hint="eastAsia" w:ascii="黑体" w:hAnsi="黑体" w:eastAsia="黑体"/>
            </w:rPr>
            <w:t>（二）学生情况</w:t>
          </w:r>
          <w:r>
            <w:tab/>
          </w:r>
          <w:r>
            <w:fldChar w:fldCharType="begin"/>
          </w:r>
          <w:r>
            <w:instrText xml:space="preserve"> PAGEREF _Toc29894690 \h </w:instrText>
          </w:r>
          <w:r>
            <w:fldChar w:fldCharType="separate"/>
          </w:r>
          <w:r>
            <w:t>4</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"_Toc29894691" </w:instrText>
          </w:r>
          <w:r>
            <w:fldChar w:fldCharType="separate"/>
          </w:r>
          <w:r>
            <w:rPr>
              <w:rStyle w:val="36"/>
              <w:rFonts w:hint="eastAsia" w:ascii="黑体" w:hAnsi="黑体" w:eastAsia="黑体"/>
            </w:rPr>
            <w:t>（三）教师队伍</w:t>
          </w:r>
          <w:r>
            <w:tab/>
          </w:r>
          <w:r>
            <w:fldChar w:fldCharType="begin"/>
          </w:r>
          <w:r>
            <w:instrText xml:space="preserve"> PAGEREF _Toc29894691 \h </w:instrText>
          </w:r>
          <w:r>
            <w:fldChar w:fldCharType="separate"/>
          </w:r>
          <w:r>
            <w:t>5</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"_Toc29894692" </w:instrText>
          </w:r>
          <w:r>
            <w:fldChar w:fldCharType="separate"/>
          </w:r>
          <w:r>
            <w:rPr>
              <w:rStyle w:val="36"/>
              <w:rFonts w:hint="eastAsia" w:ascii="黑体" w:hAnsi="黑体" w:eastAsia="黑体"/>
            </w:rPr>
            <w:t>（四）设备设施</w:t>
          </w:r>
          <w:r>
            <w:tab/>
          </w:r>
          <w:r>
            <w:fldChar w:fldCharType="begin"/>
          </w:r>
          <w:r>
            <w:instrText xml:space="preserve"> PAGEREF _Toc29894692 \h </w:instrText>
          </w:r>
          <w:r>
            <w:fldChar w:fldCharType="separate"/>
          </w:r>
          <w:r>
            <w:t>6</w:t>
          </w:r>
          <w:r>
            <w:fldChar w:fldCharType="end"/>
          </w:r>
          <w:r>
            <w:fldChar w:fldCharType="end"/>
          </w:r>
        </w:p>
        <w:p>
          <w:pPr>
            <w:pStyle w:val="20"/>
            <w:tabs>
              <w:tab w:val="right" w:leader="dot" w:pos="8296"/>
            </w:tabs>
            <w:rPr>
              <w:rFonts w:asciiTheme="minorHAnsi" w:hAnsiTheme="minorHAnsi" w:eastAsiaTheme="minorEastAsia" w:cstheme="minorBidi"/>
              <w:kern w:val="2"/>
              <w:sz w:val="21"/>
            </w:rPr>
          </w:pPr>
          <w:r>
            <w:fldChar w:fldCharType="begin"/>
          </w:r>
          <w:r>
            <w:instrText xml:space="preserve"> HYPERLINK \l "_Toc29894693" </w:instrText>
          </w:r>
          <w:r>
            <w:fldChar w:fldCharType="separate"/>
          </w:r>
          <w:r>
            <w:rPr>
              <w:rStyle w:val="36"/>
              <w:rFonts w:hint="eastAsia" w:ascii="黑体" w:hAnsi="黑体" w:eastAsia="黑体"/>
            </w:rPr>
            <w:t>二、学生发展</w:t>
          </w:r>
          <w:r>
            <w:tab/>
          </w:r>
          <w:r>
            <w:fldChar w:fldCharType="begin"/>
          </w:r>
          <w:r>
            <w:instrText xml:space="preserve"> PAGEREF _Toc29894693 \h </w:instrText>
          </w:r>
          <w:r>
            <w:fldChar w:fldCharType="separate"/>
          </w:r>
          <w:r>
            <w:t>9</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"_Toc29894694" </w:instrText>
          </w:r>
          <w:r>
            <w:fldChar w:fldCharType="separate"/>
          </w:r>
          <w:r>
            <w:rPr>
              <w:rStyle w:val="36"/>
              <w:rFonts w:hint="eastAsia" w:ascii="黑体" w:hAnsi="黑体" w:eastAsia="黑体"/>
            </w:rPr>
            <w:t>（一）学生素质</w:t>
          </w:r>
          <w:r>
            <w:tab/>
          </w:r>
          <w:r>
            <w:fldChar w:fldCharType="begin"/>
          </w:r>
          <w:r>
            <w:instrText xml:space="preserve"> PAGEREF _Toc29894694 \h </w:instrText>
          </w:r>
          <w:r>
            <w:fldChar w:fldCharType="separate"/>
          </w:r>
          <w:r>
            <w:t>9</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"_Toc29894695" </w:instrText>
          </w:r>
          <w:r>
            <w:fldChar w:fldCharType="separate"/>
          </w:r>
          <w:r>
            <w:rPr>
              <w:rStyle w:val="36"/>
              <w:rFonts w:hint="eastAsia" w:ascii="黑体" w:hAnsi="黑体" w:eastAsia="黑体"/>
            </w:rPr>
            <w:t>（二）在校体验</w:t>
          </w:r>
          <w:r>
            <w:tab/>
          </w:r>
          <w:r>
            <w:fldChar w:fldCharType="begin"/>
          </w:r>
          <w:r>
            <w:instrText xml:space="preserve"> PAGEREF _Toc29894695 \h </w:instrText>
          </w:r>
          <w:r>
            <w:fldChar w:fldCharType="separate"/>
          </w:r>
          <w:r>
            <w:t>10</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"_Toc29894696" </w:instrText>
          </w:r>
          <w:r>
            <w:fldChar w:fldCharType="separate"/>
          </w:r>
          <w:r>
            <w:rPr>
              <w:rStyle w:val="36"/>
              <w:rFonts w:hint="eastAsia" w:ascii="黑体" w:hAnsi="黑体" w:eastAsia="黑体"/>
            </w:rPr>
            <w:t>（三）资助情况</w:t>
          </w:r>
          <w:r>
            <w:tab/>
          </w:r>
          <w:r>
            <w:fldChar w:fldCharType="begin"/>
          </w:r>
          <w:r>
            <w:instrText xml:space="preserve"> PAGEREF _Toc29894696 \h </w:instrText>
          </w:r>
          <w:r>
            <w:fldChar w:fldCharType="separate"/>
          </w:r>
          <w:r>
            <w:t>11</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"_Toc29894697" </w:instrText>
          </w:r>
          <w:r>
            <w:fldChar w:fldCharType="separate"/>
          </w:r>
          <w:r>
            <w:rPr>
              <w:rStyle w:val="36"/>
              <w:rFonts w:hint="eastAsia" w:ascii="黑体" w:hAnsi="黑体" w:eastAsia="黑体"/>
            </w:rPr>
            <w:t>（四）就业质量</w:t>
          </w:r>
          <w:r>
            <w:tab/>
          </w:r>
          <w:r>
            <w:fldChar w:fldCharType="begin"/>
          </w:r>
          <w:r>
            <w:instrText xml:space="preserve"> PAGEREF _Toc29894697 \h </w:instrText>
          </w:r>
          <w:r>
            <w:fldChar w:fldCharType="separate"/>
          </w:r>
          <w:r>
            <w:t>11</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"_Toc29894698" </w:instrText>
          </w:r>
          <w:r>
            <w:fldChar w:fldCharType="separate"/>
          </w:r>
          <w:r>
            <w:rPr>
              <w:rStyle w:val="36"/>
              <w:rFonts w:hint="eastAsia" w:ascii="黑体" w:hAnsi="黑体" w:eastAsia="黑体"/>
            </w:rPr>
            <w:t>（五）职业发展</w:t>
          </w:r>
          <w:r>
            <w:tab/>
          </w:r>
          <w:r>
            <w:fldChar w:fldCharType="begin"/>
          </w:r>
          <w:r>
            <w:instrText xml:space="preserve"> PAGEREF _Toc29894698 \h </w:instrText>
          </w:r>
          <w:r>
            <w:fldChar w:fldCharType="separate"/>
          </w:r>
          <w:r>
            <w:t>14</w:t>
          </w:r>
          <w:r>
            <w:fldChar w:fldCharType="end"/>
          </w:r>
          <w:r>
            <w:fldChar w:fldCharType="end"/>
          </w:r>
        </w:p>
        <w:p>
          <w:pPr>
            <w:pStyle w:val="20"/>
            <w:tabs>
              <w:tab w:val="right" w:leader="dot" w:pos="8296"/>
            </w:tabs>
            <w:rPr>
              <w:rFonts w:asciiTheme="minorHAnsi" w:hAnsiTheme="minorHAnsi" w:eastAsiaTheme="minorEastAsia" w:cstheme="minorBidi"/>
              <w:kern w:val="2"/>
              <w:sz w:val="21"/>
            </w:rPr>
          </w:pPr>
          <w:r>
            <w:fldChar w:fldCharType="begin"/>
          </w:r>
          <w:r>
            <w:instrText xml:space="preserve"> HYPERLINK \l "_Toc29894699" </w:instrText>
          </w:r>
          <w:r>
            <w:fldChar w:fldCharType="separate"/>
          </w:r>
          <w:r>
            <w:rPr>
              <w:rStyle w:val="36"/>
              <w:rFonts w:hint="eastAsia" w:ascii="黑体" w:hAnsi="黑体" w:eastAsia="黑体"/>
            </w:rPr>
            <w:t>三、质量保障措施</w:t>
          </w:r>
          <w:r>
            <w:tab/>
          </w:r>
          <w:r>
            <w:fldChar w:fldCharType="begin"/>
          </w:r>
          <w:r>
            <w:instrText xml:space="preserve"> PAGEREF _Toc29894699 \h </w:instrText>
          </w:r>
          <w:r>
            <w:fldChar w:fldCharType="separate"/>
          </w:r>
          <w:r>
            <w:t>14</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"_Toc29894700" </w:instrText>
          </w:r>
          <w:r>
            <w:fldChar w:fldCharType="separate"/>
          </w:r>
          <w:r>
            <w:rPr>
              <w:rStyle w:val="36"/>
              <w:rFonts w:hint="eastAsia" w:ascii="黑体" w:hAnsi="黑体" w:eastAsia="黑体"/>
            </w:rPr>
            <w:t>（一）专业动态调整</w:t>
          </w:r>
          <w:r>
            <w:tab/>
          </w:r>
          <w:r>
            <w:fldChar w:fldCharType="begin"/>
          </w:r>
          <w:r>
            <w:instrText xml:space="preserve"> PAGEREF _Toc29894700 \h </w:instrText>
          </w:r>
          <w:r>
            <w:fldChar w:fldCharType="separate"/>
          </w:r>
          <w:r>
            <w:t>14</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"_Toc29894701" </w:instrText>
          </w:r>
          <w:r>
            <w:fldChar w:fldCharType="separate"/>
          </w:r>
          <w:r>
            <w:rPr>
              <w:rStyle w:val="36"/>
              <w:rFonts w:hint="eastAsia" w:ascii="黑体" w:hAnsi="黑体" w:eastAsia="黑体"/>
            </w:rPr>
            <w:t>（二）教育教学改革</w:t>
          </w:r>
          <w:r>
            <w:tab/>
          </w:r>
          <w:r>
            <w:fldChar w:fldCharType="begin"/>
          </w:r>
          <w:r>
            <w:instrText xml:space="preserve"> PAGEREF _Toc29894701 \h </w:instrText>
          </w:r>
          <w:r>
            <w:fldChar w:fldCharType="separate"/>
          </w:r>
          <w:r>
            <w:t>15</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"_Toc29894702" </w:instrText>
          </w:r>
          <w:r>
            <w:fldChar w:fldCharType="separate"/>
          </w:r>
          <w:r>
            <w:rPr>
              <w:rStyle w:val="36"/>
              <w:rFonts w:hint="eastAsia" w:ascii="黑体" w:hAnsi="黑体" w:eastAsia="黑体"/>
            </w:rPr>
            <w:t>（三）教师培养培训</w:t>
          </w:r>
          <w:r>
            <w:tab/>
          </w:r>
          <w:r>
            <w:fldChar w:fldCharType="begin"/>
          </w:r>
          <w:r>
            <w:instrText xml:space="preserve"> PAGEREF _Toc29894702 \h </w:instrText>
          </w:r>
          <w:r>
            <w:fldChar w:fldCharType="separate"/>
          </w:r>
          <w:r>
            <w:t>19</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"_Toc29894703" </w:instrText>
          </w:r>
          <w:r>
            <w:fldChar w:fldCharType="separate"/>
          </w:r>
          <w:r>
            <w:rPr>
              <w:rStyle w:val="36"/>
              <w:rFonts w:hint="eastAsia" w:ascii="黑体" w:hAnsi="黑体" w:eastAsia="黑体"/>
            </w:rPr>
            <w:t>（四）规范管理情况</w:t>
          </w:r>
          <w:r>
            <w:tab/>
          </w:r>
          <w:r>
            <w:fldChar w:fldCharType="begin"/>
          </w:r>
          <w:r>
            <w:instrText xml:space="preserve"> PAGEREF _Toc29894703 \h </w:instrText>
          </w:r>
          <w:r>
            <w:fldChar w:fldCharType="separate"/>
          </w:r>
          <w:r>
            <w:t>21</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"_Toc29894704" </w:instrText>
          </w:r>
          <w:r>
            <w:fldChar w:fldCharType="separate"/>
          </w:r>
          <w:r>
            <w:rPr>
              <w:rStyle w:val="36"/>
              <w:rFonts w:hint="eastAsia" w:ascii="黑体" w:hAnsi="黑体" w:eastAsia="黑体"/>
            </w:rPr>
            <w:t>（五）德育工作情况</w:t>
          </w:r>
          <w:r>
            <w:tab/>
          </w:r>
          <w:r>
            <w:fldChar w:fldCharType="begin"/>
          </w:r>
          <w:r>
            <w:instrText xml:space="preserve"> PAGEREF _Toc29894704 \h </w:instrText>
          </w:r>
          <w:r>
            <w:fldChar w:fldCharType="separate"/>
          </w:r>
          <w:r>
            <w:t>23</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"_Toc29894705" </w:instrText>
          </w:r>
          <w:r>
            <w:fldChar w:fldCharType="separate"/>
          </w:r>
          <w:r>
            <w:rPr>
              <w:rStyle w:val="36"/>
              <w:rFonts w:hint="eastAsia" w:ascii="黑体" w:hAnsi="黑体" w:eastAsia="黑体"/>
            </w:rPr>
            <w:t>（六）党建工作</w:t>
          </w:r>
          <w:r>
            <w:tab/>
          </w:r>
          <w:r>
            <w:fldChar w:fldCharType="begin"/>
          </w:r>
          <w:r>
            <w:instrText xml:space="preserve"> PAGEREF _Toc29894705 \h </w:instrText>
          </w:r>
          <w:r>
            <w:fldChar w:fldCharType="separate"/>
          </w:r>
          <w:r>
            <w:t>31</w:t>
          </w:r>
          <w:r>
            <w:fldChar w:fldCharType="end"/>
          </w:r>
          <w:r>
            <w:fldChar w:fldCharType="end"/>
          </w:r>
        </w:p>
        <w:p>
          <w:pPr>
            <w:pStyle w:val="20"/>
            <w:tabs>
              <w:tab w:val="right" w:leader="dot" w:pos="8296"/>
            </w:tabs>
            <w:rPr>
              <w:rFonts w:asciiTheme="minorHAnsi" w:hAnsiTheme="minorHAnsi" w:eastAsiaTheme="minorEastAsia" w:cstheme="minorBidi"/>
              <w:kern w:val="2"/>
              <w:sz w:val="21"/>
            </w:rPr>
          </w:pPr>
          <w:r>
            <w:fldChar w:fldCharType="begin"/>
          </w:r>
          <w:r>
            <w:instrText xml:space="preserve"> HYPERLINK \l "_Toc29894706" </w:instrText>
          </w:r>
          <w:r>
            <w:fldChar w:fldCharType="separate"/>
          </w:r>
          <w:r>
            <w:rPr>
              <w:rStyle w:val="36"/>
              <w:rFonts w:hint="eastAsia" w:ascii="黑体" w:hAnsi="黑体" w:eastAsia="黑体"/>
            </w:rPr>
            <w:t>四、校企合作</w:t>
          </w:r>
          <w:r>
            <w:tab/>
          </w:r>
          <w:r>
            <w:fldChar w:fldCharType="begin"/>
          </w:r>
          <w:r>
            <w:instrText xml:space="preserve"> PAGEREF _Toc29894706 \h </w:instrText>
          </w:r>
          <w:r>
            <w:fldChar w:fldCharType="separate"/>
          </w:r>
          <w:r>
            <w:t>34</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"_Toc29894707" </w:instrText>
          </w:r>
          <w:r>
            <w:fldChar w:fldCharType="separate"/>
          </w:r>
          <w:r>
            <w:rPr>
              <w:rStyle w:val="36"/>
              <w:rFonts w:hint="eastAsia" w:ascii="黑体" w:hAnsi="黑体" w:eastAsia="黑体"/>
            </w:rPr>
            <w:t>（一）校企合作开展情况</w:t>
          </w:r>
          <w:r>
            <w:tab/>
          </w:r>
          <w:r>
            <w:fldChar w:fldCharType="begin"/>
          </w:r>
          <w:r>
            <w:instrText xml:space="preserve"> PAGEREF _Toc29894707 \h </w:instrText>
          </w:r>
          <w:r>
            <w:fldChar w:fldCharType="separate"/>
          </w:r>
          <w:r>
            <w:t>34</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"_Toc29894708" </w:instrText>
          </w:r>
          <w:r>
            <w:fldChar w:fldCharType="separate"/>
          </w:r>
          <w:r>
            <w:rPr>
              <w:rStyle w:val="36"/>
              <w:rFonts w:hint="eastAsia" w:ascii="黑体" w:hAnsi="黑体" w:eastAsia="黑体"/>
            </w:rPr>
            <w:t>（二）学生实习情况</w:t>
          </w:r>
          <w:r>
            <w:tab/>
          </w:r>
          <w:r>
            <w:fldChar w:fldCharType="begin"/>
          </w:r>
          <w:r>
            <w:instrText xml:space="preserve"> PAGEREF _Toc29894708 \h </w:instrText>
          </w:r>
          <w:r>
            <w:fldChar w:fldCharType="separate"/>
          </w:r>
          <w:r>
            <w:t>37</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"_Toc29894709" </w:instrText>
          </w:r>
          <w:r>
            <w:fldChar w:fldCharType="separate"/>
          </w:r>
          <w:r>
            <w:rPr>
              <w:rStyle w:val="36"/>
              <w:rFonts w:hint="eastAsia" w:ascii="黑体" w:hAnsi="黑体" w:eastAsia="黑体"/>
            </w:rPr>
            <w:t>（三）集团化办学情况</w:t>
          </w:r>
          <w:r>
            <w:tab/>
          </w:r>
          <w:r>
            <w:fldChar w:fldCharType="begin"/>
          </w:r>
          <w:r>
            <w:instrText xml:space="preserve"> PAGEREF _Toc29894709 \h </w:instrText>
          </w:r>
          <w:r>
            <w:fldChar w:fldCharType="separate"/>
          </w:r>
          <w:r>
            <w:t>38</w:t>
          </w:r>
          <w:r>
            <w:fldChar w:fldCharType="end"/>
          </w:r>
          <w:r>
            <w:fldChar w:fldCharType="end"/>
          </w:r>
        </w:p>
        <w:p>
          <w:pPr>
            <w:pStyle w:val="20"/>
            <w:tabs>
              <w:tab w:val="right" w:leader="dot" w:pos="8296"/>
            </w:tabs>
            <w:rPr>
              <w:rFonts w:asciiTheme="minorHAnsi" w:hAnsiTheme="minorHAnsi" w:eastAsiaTheme="minorEastAsia" w:cstheme="minorBidi"/>
              <w:kern w:val="2"/>
              <w:sz w:val="21"/>
            </w:rPr>
          </w:pPr>
          <w:r>
            <w:fldChar w:fldCharType="begin"/>
          </w:r>
          <w:r>
            <w:instrText xml:space="preserve"> HYPERLINK \l "_Toc29894710" </w:instrText>
          </w:r>
          <w:r>
            <w:fldChar w:fldCharType="separate"/>
          </w:r>
          <w:r>
            <w:rPr>
              <w:rStyle w:val="36"/>
              <w:rFonts w:hint="eastAsia" w:ascii="黑体" w:hAnsi="黑体" w:eastAsia="黑体"/>
            </w:rPr>
            <w:t>五、社会贡献</w:t>
          </w:r>
          <w:r>
            <w:tab/>
          </w:r>
          <w:r>
            <w:fldChar w:fldCharType="begin"/>
          </w:r>
          <w:r>
            <w:instrText xml:space="preserve"> PAGEREF _Toc29894710 \h </w:instrText>
          </w:r>
          <w:r>
            <w:fldChar w:fldCharType="separate"/>
          </w:r>
          <w:r>
            <w:t>39</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"_Toc29894711" </w:instrText>
          </w:r>
          <w:r>
            <w:fldChar w:fldCharType="separate"/>
          </w:r>
          <w:r>
            <w:rPr>
              <w:rStyle w:val="36"/>
              <w:rFonts w:hint="eastAsia" w:ascii="黑体" w:hAnsi="黑体" w:eastAsia="黑体"/>
            </w:rPr>
            <w:t>（一）技术技能人才培养</w:t>
          </w:r>
          <w:r>
            <w:tab/>
          </w:r>
          <w:r>
            <w:fldChar w:fldCharType="begin"/>
          </w:r>
          <w:r>
            <w:instrText xml:space="preserve"> PAGEREF _Toc29894711 \h </w:instrText>
          </w:r>
          <w:r>
            <w:fldChar w:fldCharType="separate"/>
          </w:r>
          <w:r>
            <w:t>39</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"_Toc29894712" </w:instrText>
          </w:r>
          <w:r>
            <w:fldChar w:fldCharType="separate"/>
          </w:r>
          <w:r>
            <w:rPr>
              <w:rStyle w:val="36"/>
              <w:rFonts w:hint="eastAsia" w:ascii="黑体" w:hAnsi="黑体" w:eastAsia="黑体"/>
            </w:rPr>
            <w:t>（二）社会服务</w:t>
          </w:r>
          <w:r>
            <w:tab/>
          </w:r>
          <w:r>
            <w:fldChar w:fldCharType="begin"/>
          </w:r>
          <w:r>
            <w:instrText xml:space="preserve"> PAGEREF _Toc29894712 \h </w:instrText>
          </w:r>
          <w:r>
            <w:fldChar w:fldCharType="separate"/>
          </w:r>
          <w:r>
            <w:t>40</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"_Toc29894713" </w:instrText>
          </w:r>
          <w:r>
            <w:fldChar w:fldCharType="separate"/>
          </w:r>
          <w:r>
            <w:rPr>
              <w:rStyle w:val="36"/>
              <w:rFonts w:hint="eastAsia" w:ascii="黑体" w:hAnsi="黑体" w:eastAsia="黑体"/>
            </w:rPr>
            <w:t>（三）对口支援</w:t>
          </w:r>
          <w:r>
            <w:tab/>
          </w:r>
          <w:r>
            <w:fldChar w:fldCharType="begin"/>
          </w:r>
          <w:r>
            <w:instrText xml:space="preserve"> PAGEREF _Toc29894713 \h </w:instrText>
          </w:r>
          <w:r>
            <w:fldChar w:fldCharType="separate"/>
          </w:r>
          <w:r>
            <w:t>41</w:t>
          </w:r>
          <w:r>
            <w:fldChar w:fldCharType="end"/>
          </w:r>
          <w:r>
            <w:fldChar w:fldCharType="end"/>
          </w:r>
        </w:p>
        <w:p>
          <w:pPr>
            <w:pStyle w:val="20"/>
            <w:tabs>
              <w:tab w:val="right" w:leader="dot" w:pos="8296"/>
            </w:tabs>
            <w:rPr>
              <w:rFonts w:asciiTheme="minorHAnsi" w:hAnsiTheme="minorHAnsi" w:eastAsiaTheme="minorEastAsia" w:cstheme="minorBidi"/>
              <w:kern w:val="2"/>
              <w:sz w:val="21"/>
            </w:rPr>
          </w:pPr>
          <w:r>
            <w:fldChar w:fldCharType="begin"/>
          </w:r>
          <w:r>
            <w:instrText xml:space="preserve"> HYPERLINK \l "_Toc29894714" </w:instrText>
          </w:r>
          <w:r>
            <w:fldChar w:fldCharType="separate"/>
          </w:r>
          <w:r>
            <w:rPr>
              <w:rStyle w:val="36"/>
              <w:rFonts w:hint="eastAsia" w:ascii="黑体" w:hAnsi="黑体" w:eastAsia="黑体"/>
            </w:rPr>
            <w:t>六、举办者职责</w:t>
          </w:r>
          <w:r>
            <w:tab/>
          </w:r>
          <w:r>
            <w:fldChar w:fldCharType="begin"/>
          </w:r>
          <w:r>
            <w:instrText xml:space="preserve"> PAGEREF _Toc29894714 \h </w:instrText>
          </w:r>
          <w:r>
            <w:fldChar w:fldCharType="separate"/>
          </w:r>
          <w:r>
            <w:t>41</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"_Toc29894715" </w:instrText>
          </w:r>
          <w:r>
            <w:fldChar w:fldCharType="separate"/>
          </w:r>
          <w:r>
            <w:rPr>
              <w:rStyle w:val="36"/>
              <w:rFonts w:hint="eastAsia" w:ascii="黑体" w:hAnsi="黑体" w:eastAsia="黑体"/>
            </w:rPr>
            <w:t>（一）经费</w:t>
          </w:r>
          <w:r>
            <w:tab/>
          </w:r>
          <w:r>
            <w:fldChar w:fldCharType="begin"/>
          </w:r>
          <w:r>
            <w:instrText xml:space="preserve"> PAGEREF _Toc29894715 \h </w:instrText>
          </w:r>
          <w:r>
            <w:fldChar w:fldCharType="separate"/>
          </w:r>
          <w:r>
            <w:t>41</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"_Toc29894716" </w:instrText>
          </w:r>
          <w:r>
            <w:fldChar w:fldCharType="separate"/>
          </w:r>
          <w:r>
            <w:rPr>
              <w:rStyle w:val="36"/>
              <w:rFonts w:hint="eastAsia" w:ascii="黑体" w:hAnsi="黑体" w:eastAsia="黑体"/>
            </w:rPr>
            <w:t>（二）政策措施</w:t>
          </w:r>
          <w:r>
            <w:tab/>
          </w:r>
          <w:r>
            <w:fldChar w:fldCharType="begin"/>
          </w:r>
          <w:r>
            <w:instrText xml:space="preserve"> PAGEREF _Toc29894716 \h </w:instrText>
          </w:r>
          <w:r>
            <w:fldChar w:fldCharType="separate"/>
          </w:r>
          <w:r>
            <w:t>41</w:t>
          </w:r>
          <w:r>
            <w:fldChar w:fldCharType="end"/>
          </w:r>
          <w:r>
            <w:fldChar w:fldCharType="end"/>
          </w:r>
        </w:p>
        <w:p>
          <w:pPr>
            <w:pStyle w:val="20"/>
            <w:tabs>
              <w:tab w:val="right" w:leader="dot" w:pos="8296"/>
            </w:tabs>
            <w:rPr>
              <w:rFonts w:asciiTheme="minorHAnsi" w:hAnsiTheme="minorHAnsi" w:eastAsiaTheme="minorEastAsia" w:cstheme="minorBidi"/>
              <w:kern w:val="2"/>
              <w:sz w:val="21"/>
            </w:rPr>
          </w:pPr>
          <w:r>
            <w:fldChar w:fldCharType="begin"/>
          </w:r>
          <w:r>
            <w:instrText xml:space="preserve"> HYPERLINK \l "_Toc29894717" </w:instrText>
          </w:r>
          <w:r>
            <w:fldChar w:fldCharType="separate"/>
          </w:r>
          <w:r>
            <w:rPr>
              <w:rStyle w:val="36"/>
              <w:rFonts w:hint="eastAsia" w:ascii="黑体" w:hAnsi="黑体" w:eastAsia="黑体"/>
            </w:rPr>
            <w:t>七、特色创新</w:t>
          </w:r>
          <w:r>
            <w:tab/>
          </w:r>
          <w:r>
            <w:fldChar w:fldCharType="begin"/>
          </w:r>
          <w:r>
            <w:instrText xml:space="preserve"> PAGEREF _Toc29894717 \h </w:instrText>
          </w:r>
          <w:r>
            <w:fldChar w:fldCharType="separate"/>
          </w:r>
          <w:r>
            <w:t>42</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"_Toc29894718" </w:instrText>
          </w:r>
          <w:r>
            <w:fldChar w:fldCharType="separate"/>
          </w:r>
          <w:r>
            <w:rPr>
              <w:rStyle w:val="36"/>
              <w:rFonts w:hint="eastAsia" w:ascii="黑体" w:hAnsi="黑体" w:eastAsia="黑体"/>
            </w:rPr>
            <w:t>（一）构建“行真”职教文化，引领学校全面发展</w:t>
          </w:r>
          <w:r>
            <w:tab/>
          </w:r>
          <w:r>
            <w:fldChar w:fldCharType="begin"/>
          </w:r>
          <w:r>
            <w:instrText xml:space="preserve"> PAGEREF _Toc29894718 \h </w:instrText>
          </w:r>
          <w:r>
            <w:fldChar w:fldCharType="separate"/>
          </w:r>
          <w:r>
            <w:t>42</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"_Toc29894719" </w:instrText>
          </w:r>
          <w:r>
            <w:fldChar w:fldCharType="separate"/>
          </w:r>
          <w:r>
            <w:rPr>
              <w:rStyle w:val="36"/>
              <w:rFonts w:hint="eastAsia" w:ascii="黑体" w:hAnsi="黑体" w:eastAsia="黑体"/>
            </w:rPr>
            <w:t>（二）以校企合作为抓手，探索现代学徒制人才培养模式改革</w:t>
          </w:r>
          <w:r>
            <w:tab/>
          </w:r>
          <w:r>
            <w:fldChar w:fldCharType="begin"/>
          </w:r>
          <w:r>
            <w:instrText xml:space="preserve"> PAGEREF _Toc29894719 \h </w:instrText>
          </w:r>
          <w:r>
            <w:fldChar w:fldCharType="separate"/>
          </w:r>
          <w:r>
            <w:t>44</w:t>
          </w:r>
          <w:r>
            <w:fldChar w:fldCharType="end"/>
          </w:r>
          <w:r>
            <w:fldChar w:fldCharType="end"/>
          </w:r>
        </w:p>
        <w:p>
          <w:pPr>
            <w:pStyle w:val="20"/>
            <w:tabs>
              <w:tab w:val="right" w:leader="dot" w:pos="8296"/>
            </w:tabs>
            <w:rPr>
              <w:rFonts w:asciiTheme="minorHAnsi" w:hAnsiTheme="minorHAnsi" w:eastAsiaTheme="minorEastAsia" w:cstheme="minorBidi"/>
              <w:kern w:val="2"/>
              <w:sz w:val="21"/>
            </w:rPr>
          </w:pPr>
          <w:r>
            <w:fldChar w:fldCharType="begin"/>
          </w:r>
          <w:r>
            <w:instrText xml:space="preserve"> HYPERLINK \l "_Toc29894720" </w:instrText>
          </w:r>
          <w:r>
            <w:fldChar w:fldCharType="separate"/>
          </w:r>
          <w:r>
            <w:rPr>
              <w:rStyle w:val="36"/>
              <w:rFonts w:hint="eastAsia" w:ascii="黑体" w:hAnsi="黑体" w:eastAsia="黑体"/>
            </w:rPr>
            <w:t>八、主要问题和改进措施</w:t>
          </w:r>
          <w:r>
            <w:tab/>
          </w:r>
          <w:r>
            <w:fldChar w:fldCharType="begin"/>
          </w:r>
          <w:r>
            <w:instrText xml:space="preserve"> PAGEREF _Toc29894720 \h </w:instrText>
          </w:r>
          <w:r>
            <w:fldChar w:fldCharType="separate"/>
          </w:r>
          <w:r>
            <w:t>45</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"_Toc29894721" </w:instrText>
          </w:r>
          <w:r>
            <w:fldChar w:fldCharType="separate"/>
          </w:r>
          <w:r>
            <w:rPr>
              <w:rStyle w:val="36"/>
              <w:rFonts w:hint="eastAsia" w:ascii="黑体" w:hAnsi="黑体" w:eastAsia="黑体"/>
            </w:rPr>
            <w:t>（一）存在问题</w:t>
          </w:r>
          <w:r>
            <w:tab/>
          </w:r>
          <w:r>
            <w:fldChar w:fldCharType="begin"/>
          </w:r>
          <w:r>
            <w:instrText xml:space="preserve"> PAGEREF _Toc29894721 \h </w:instrText>
          </w:r>
          <w:r>
            <w:fldChar w:fldCharType="separate"/>
          </w:r>
          <w:r>
            <w:t>45</w:t>
          </w:r>
          <w:r>
            <w:fldChar w:fldCharType="end"/>
          </w:r>
          <w:r>
            <w:fldChar w:fldCharType="end"/>
          </w:r>
        </w:p>
        <w:p>
          <w:pPr>
            <w:pStyle w:val="25"/>
            <w:tabs>
              <w:tab w:val="right" w:leader="dot" w:pos="8296"/>
            </w:tabs>
            <w:rPr>
              <w:rFonts w:asciiTheme="minorHAnsi" w:hAnsiTheme="minorHAnsi" w:eastAsiaTheme="minorEastAsia" w:cstheme="minorBidi"/>
              <w:kern w:val="2"/>
              <w:sz w:val="21"/>
            </w:rPr>
          </w:pPr>
          <w:r>
            <w:fldChar w:fldCharType="begin"/>
          </w:r>
          <w:r>
            <w:instrText xml:space="preserve"> HYPERLINK \l "_Toc29894722" </w:instrText>
          </w:r>
          <w:r>
            <w:fldChar w:fldCharType="separate"/>
          </w:r>
          <w:r>
            <w:rPr>
              <w:rStyle w:val="36"/>
              <w:rFonts w:hint="eastAsia" w:ascii="黑体" w:hAnsi="黑体" w:eastAsia="黑体"/>
            </w:rPr>
            <w:t>（二）改进措施</w:t>
          </w:r>
          <w:r>
            <w:tab/>
          </w:r>
          <w:r>
            <w:fldChar w:fldCharType="begin"/>
          </w:r>
          <w:r>
            <w:instrText xml:space="preserve"> PAGEREF _Toc29894722 \h </w:instrText>
          </w:r>
          <w:r>
            <w:fldChar w:fldCharType="separate"/>
          </w:r>
          <w:r>
            <w:t>46</w:t>
          </w:r>
          <w:r>
            <w:fldChar w:fldCharType="end"/>
          </w:r>
          <w:r>
            <w:fldChar w:fldCharType="end"/>
          </w:r>
        </w:p>
        <w:p>
          <w:pPr>
            <w:pStyle w:val="20"/>
            <w:tabs>
              <w:tab w:val="right" w:leader="dot" w:pos="8296"/>
            </w:tabs>
            <w:rPr>
              <w:rFonts w:asciiTheme="minorHAnsi" w:hAnsiTheme="minorHAnsi" w:eastAsiaTheme="minorEastAsia" w:cstheme="minorBidi"/>
              <w:kern w:val="2"/>
              <w:sz w:val="21"/>
            </w:rPr>
          </w:pPr>
          <w:r>
            <w:fldChar w:fldCharType="begin"/>
          </w:r>
          <w:r>
            <w:instrText xml:space="preserve"> HYPERLINK \l "_Toc29894723" </w:instrText>
          </w:r>
          <w:r>
            <w:fldChar w:fldCharType="separate"/>
          </w:r>
          <w:r>
            <w:rPr>
              <w:rStyle w:val="36"/>
              <w:rFonts w:hint="eastAsia" w:ascii="黑体" w:hAnsi="黑体" w:eastAsia="黑体"/>
            </w:rPr>
            <w:t>九、其他</w:t>
          </w:r>
          <w:r>
            <w:tab/>
          </w:r>
          <w:r>
            <w:fldChar w:fldCharType="begin"/>
          </w:r>
          <w:r>
            <w:instrText xml:space="preserve"> PAGEREF _Toc29894723 \h </w:instrText>
          </w:r>
          <w:r>
            <w:fldChar w:fldCharType="separate"/>
          </w:r>
          <w:r>
            <w:t>47</w:t>
          </w:r>
          <w:r>
            <w:fldChar w:fldCharType="end"/>
          </w:r>
          <w:r>
            <w:fldChar w:fldCharType="end"/>
          </w:r>
        </w:p>
        <w:p>
          <w:pPr>
            <w:spacing w:line="360" w:lineRule="auto"/>
            <w:rPr>
              <w:rFonts w:ascii="宋体" w:hAnsi="宋体"/>
              <w:sz w:val="24"/>
              <w:szCs w:val="24"/>
            </w:rPr>
          </w:pPr>
          <w:r>
            <w:rPr>
              <w:rFonts w:ascii="宋体" w:hAnsi="宋体"/>
              <w:b/>
              <w:bCs/>
              <w:sz w:val="24"/>
              <w:szCs w:val="24"/>
              <w:lang w:val="zh-CN"/>
            </w:rPr>
            <w:fldChar w:fldCharType="end"/>
          </w:r>
        </w:p>
      </w:sdtContent>
    </w:sdt>
    <w:p>
      <w:pPr>
        <w:pStyle w:val="2"/>
        <w:spacing w:line="120" w:lineRule="auto"/>
        <w:sectPr>
          <w:pgSz w:w="11906" w:h="16838"/>
          <w:pgMar w:top="1440" w:right="1800" w:bottom="1440" w:left="1800" w:header="851" w:footer="709" w:gutter="0"/>
          <w:cols w:space="720" w:num="1"/>
          <w:docGrid w:type="lines" w:linePitch="312" w:charSpace="0"/>
        </w:sectPr>
      </w:pPr>
      <w:bookmarkStart w:id="0" w:name="_Toc501482401"/>
    </w:p>
    <w:p>
      <w:pPr>
        <w:pStyle w:val="2"/>
        <w:spacing w:before="312" w:beforeLines="100" w:after="0"/>
        <w:rPr>
          <w:rFonts w:ascii="黑体" w:hAnsi="黑体" w:eastAsia="黑体"/>
          <w:sz w:val="30"/>
          <w:szCs w:val="30"/>
        </w:rPr>
      </w:pPr>
      <w:bookmarkStart w:id="1" w:name="_Toc29894688"/>
      <w:r>
        <w:rPr>
          <w:rFonts w:ascii="黑体" w:hAnsi="黑体" w:eastAsia="黑体"/>
          <w:sz w:val="30"/>
          <w:szCs w:val="30"/>
        </w:rPr>
        <w:t>一、学校情况</w:t>
      </w:r>
      <w:bookmarkEnd w:id="0"/>
      <w:bookmarkEnd w:id="1"/>
    </w:p>
    <w:p>
      <w:pPr>
        <w:pStyle w:val="3"/>
        <w:spacing w:before="156" w:beforeLines="50" w:after="0"/>
        <w:rPr>
          <w:rFonts w:ascii="黑体" w:hAnsi="黑体" w:eastAsia="黑体"/>
          <w:sz w:val="28"/>
          <w:szCs w:val="28"/>
        </w:rPr>
      </w:pPr>
      <w:bookmarkStart w:id="2" w:name="_Toc501482402"/>
      <w:bookmarkStart w:id="3" w:name="_Toc29894689"/>
      <w:r>
        <w:rPr>
          <w:rFonts w:hint="eastAsia" w:ascii="黑体" w:hAnsi="黑体" w:eastAsia="黑体"/>
          <w:sz w:val="28"/>
          <w:szCs w:val="28"/>
        </w:rPr>
        <w:t>（一）学校概况</w:t>
      </w:r>
      <w:bookmarkEnd w:id="2"/>
      <w:bookmarkEnd w:id="3"/>
    </w:p>
    <w:p>
      <w:pPr>
        <w:spacing w:before="156" w:beforeLines="50" w:line="360" w:lineRule="auto"/>
        <w:ind w:firstLine="480" w:firstLineChars="200"/>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2017年10月，经四川省教育厅批复，资中县双龙职业中学、资中县水南高级职业中学整合成立资中县职业技术学校。学校由资中县教育体育局举办，具有法人资格，集学历教育和非学历社会培训的全日制公办中职学校。</w:t>
      </w:r>
      <w:r>
        <w:rPr>
          <w:rFonts w:hint="eastAsia" w:asciiTheme="majorEastAsia" w:hAnsiTheme="majorEastAsia" w:eastAsiaTheme="majorEastAsia"/>
          <w:sz w:val="24"/>
          <w:szCs w:val="24"/>
        </w:rPr>
        <w:t>学校分为双龙校区、水南校区，占地面积64426平方米（折合96.64亩），生均占地面积29.79平方米；校舍建筑面积56006平方米，生均校舍建筑面积25.89平方米。截止2019年8月底，固定资产总值达到8118.5万元。</w:t>
      </w:r>
      <w:r>
        <w:rPr>
          <w:rFonts w:hint="eastAsia" w:asciiTheme="majorEastAsia" w:hAnsiTheme="majorEastAsia" w:eastAsiaTheme="majorEastAsia"/>
          <w:color w:val="000000"/>
          <w:sz w:val="24"/>
          <w:szCs w:val="24"/>
        </w:rPr>
        <w:t>学校先后被评为省级重点职中、</w:t>
      </w:r>
      <w:r>
        <w:rPr>
          <w:rFonts w:hint="eastAsia" w:asciiTheme="majorEastAsia" w:hAnsiTheme="majorEastAsia" w:eastAsiaTheme="majorEastAsia"/>
          <w:sz w:val="24"/>
          <w:szCs w:val="24"/>
        </w:rPr>
        <w:t>四川省中学职业学校“内务管理示范学校”、市级校风示范学校、内江市素质教育示范学校、四川省标准化食堂、</w:t>
      </w:r>
      <w:r>
        <w:rPr>
          <w:rFonts w:hint="eastAsia" w:asciiTheme="majorEastAsia" w:hAnsiTheme="majorEastAsia" w:eastAsiaTheme="majorEastAsia"/>
          <w:color w:val="000000"/>
          <w:sz w:val="24"/>
          <w:szCs w:val="24"/>
        </w:rPr>
        <w:t>四川省劳务开发暨培训基地、四川省农村青年转移就业培训基地。2019年被遴选为四川省示范性中职学校项目建设学校。</w:t>
      </w:r>
    </w:p>
    <w:p>
      <w:pPr>
        <w:spacing w:before="156" w:beforeLines="5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color w:val="000000"/>
          <w:sz w:val="24"/>
          <w:szCs w:val="24"/>
        </w:rPr>
        <w:t>近年来，学校坚持“内涵发展，提高核心竞争力，办人民满意的中职学校”的发展思路，坚持“德育为先，素质为本，技能为重”的办学理念，实施“对口升学”与“就业”两条腿走路的培养目标，不断探索创新，学校在“中高职衔接”、“项目过关制教学改革”、“5S”管理、现代学徒制试点等方面初步形成特色。《国家职业教育改革实施方案》颁布之后，学校以省示范省示范校建设为契机，在产教融合、信息化建设、专业建设、校园文化建设等方面探索进取，逐步形成自身职教特色。</w:t>
      </w:r>
    </w:p>
    <w:p>
      <w:pPr>
        <w:spacing w:before="156" w:beforeLines="5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学校办学资源总量及生均值见表1。</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表1-1  2017—2018学年学校办学资源总量及生均值</w:t>
      </w:r>
    </w:p>
    <w:tbl>
      <w:tblPr>
        <w:tblStyle w:val="31"/>
        <w:tblW w:w="8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060"/>
        <w:gridCol w:w="1031"/>
        <w:gridCol w:w="1370"/>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shd w:val="clear" w:color="auto" w:fill="D8D8D8" w:themeFill="background1" w:themeFillShade="D9"/>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序号</w:t>
            </w:r>
          </w:p>
        </w:tc>
        <w:tc>
          <w:tcPr>
            <w:tcW w:w="3060" w:type="dxa"/>
            <w:shd w:val="clear" w:color="auto" w:fill="D8D8D8" w:themeFill="background1" w:themeFillShade="D9"/>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名称</w:t>
            </w:r>
          </w:p>
        </w:tc>
        <w:tc>
          <w:tcPr>
            <w:tcW w:w="1031" w:type="dxa"/>
            <w:shd w:val="clear" w:color="auto" w:fill="D8D8D8" w:themeFill="background1" w:themeFillShade="D9"/>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单位</w:t>
            </w:r>
          </w:p>
        </w:tc>
        <w:tc>
          <w:tcPr>
            <w:tcW w:w="1370" w:type="dxa"/>
            <w:shd w:val="clear" w:color="auto" w:fill="D8D8D8" w:themeFill="background1" w:themeFillShade="D9"/>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数量</w:t>
            </w:r>
          </w:p>
        </w:tc>
        <w:tc>
          <w:tcPr>
            <w:tcW w:w="1713" w:type="dxa"/>
            <w:shd w:val="clear" w:color="auto" w:fill="D8D8D8" w:themeFill="background1" w:themeFillShade="D9"/>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生均值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1</w:t>
            </w:r>
          </w:p>
        </w:tc>
        <w:tc>
          <w:tcPr>
            <w:tcW w:w="306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占地面积</w:t>
            </w:r>
          </w:p>
        </w:tc>
        <w:tc>
          <w:tcPr>
            <w:tcW w:w="1031" w:type="dxa"/>
            <w:vAlign w:val="center"/>
          </w:tcPr>
          <w:p>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M</w:t>
            </w:r>
            <w:r>
              <w:rPr>
                <w:rFonts w:hint="eastAsia" w:asciiTheme="majorEastAsia" w:hAnsiTheme="majorEastAsia" w:eastAsiaTheme="majorEastAsia"/>
                <w:szCs w:val="21"/>
                <w:vertAlign w:val="superscript"/>
              </w:rPr>
              <w:t>2</w:t>
            </w:r>
          </w:p>
        </w:tc>
        <w:tc>
          <w:tcPr>
            <w:tcW w:w="137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69930</w:t>
            </w:r>
          </w:p>
        </w:tc>
        <w:tc>
          <w:tcPr>
            <w:tcW w:w="1713"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29.79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2</w:t>
            </w:r>
          </w:p>
        </w:tc>
        <w:tc>
          <w:tcPr>
            <w:tcW w:w="306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校舍建筑面积</w:t>
            </w:r>
          </w:p>
        </w:tc>
        <w:tc>
          <w:tcPr>
            <w:tcW w:w="1031" w:type="dxa"/>
            <w:vAlign w:val="center"/>
          </w:tcPr>
          <w:p>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M</w:t>
            </w:r>
            <w:r>
              <w:rPr>
                <w:rFonts w:hint="eastAsia" w:asciiTheme="majorEastAsia" w:hAnsiTheme="majorEastAsia" w:eastAsiaTheme="majorEastAsia"/>
                <w:szCs w:val="21"/>
                <w:vertAlign w:val="superscript"/>
              </w:rPr>
              <w:t>2</w:t>
            </w:r>
          </w:p>
        </w:tc>
        <w:tc>
          <w:tcPr>
            <w:tcW w:w="137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55982</w:t>
            </w:r>
          </w:p>
        </w:tc>
        <w:tc>
          <w:tcPr>
            <w:tcW w:w="1713"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w:t>
            </w:r>
          </w:p>
        </w:tc>
        <w:tc>
          <w:tcPr>
            <w:tcW w:w="306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教学及辅助用房面积</w:t>
            </w:r>
          </w:p>
        </w:tc>
        <w:tc>
          <w:tcPr>
            <w:tcW w:w="1031" w:type="dxa"/>
            <w:vAlign w:val="center"/>
          </w:tcPr>
          <w:p>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M</w:t>
            </w:r>
            <w:r>
              <w:rPr>
                <w:rFonts w:hint="eastAsia" w:asciiTheme="majorEastAsia" w:hAnsiTheme="majorEastAsia" w:eastAsiaTheme="majorEastAsia"/>
                <w:szCs w:val="21"/>
                <w:vertAlign w:val="superscript"/>
              </w:rPr>
              <w:t>2</w:t>
            </w:r>
          </w:p>
        </w:tc>
        <w:tc>
          <w:tcPr>
            <w:tcW w:w="137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26586</w:t>
            </w:r>
          </w:p>
        </w:tc>
        <w:tc>
          <w:tcPr>
            <w:tcW w:w="1713"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4</w:t>
            </w:r>
          </w:p>
        </w:tc>
        <w:tc>
          <w:tcPr>
            <w:tcW w:w="306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行政办公用房面积</w:t>
            </w:r>
          </w:p>
        </w:tc>
        <w:tc>
          <w:tcPr>
            <w:tcW w:w="1031" w:type="dxa"/>
            <w:vAlign w:val="center"/>
          </w:tcPr>
          <w:p>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M</w:t>
            </w:r>
            <w:r>
              <w:rPr>
                <w:rFonts w:hint="eastAsia" w:asciiTheme="majorEastAsia" w:hAnsiTheme="majorEastAsia" w:eastAsiaTheme="majorEastAsia"/>
                <w:szCs w:val="21"/>
                <w:vertAlign w:val="superscript"/>
              </w:rPr>
              <w:t>2</w:t>
            </w:r>
          </w:p>
        </w:tc>
        <w:tc>
          <w:tcPr>
            <w:tcW w:w="137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3160</w:t>
            </w:r>
          </w:p>
        </w:tc>
        <w:tc>
          <w:tcPr>
            <w:tcW w:w="1713"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5</w:t>
            </w:r>
          </w:p>
        </w:tc>
        <w:tc>
          <w:tcPr>
            <w:tcW w:w="306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学生宿舍面积</w:t>
            </w:r>
          </w:p>
        </w:tc>
        <w:tc>
          <w:tcPr>
            <w:tcW w:w="1031" w:type="dxa"/>
            <w:vAlign w:val="center"/>
          </w:tcPr>
          <w:p>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M</w:t>
            </w:r>
            <w:r>
              <w:rPr>
                <w:rFonts w:hint="eastAsia" w:asciiTheme="majorEastAsia" w:hAnsiTheme="majorEastAsia" w:eastAsiaTheme="majorEastAsia"/>
                <w:szCs w:val="21"/>
                <w:vertAlign w:val="superscript"/>
              </w:rPr>
              <w:t>2</w:t>
            </w:r>
          </w:p>
        </w:tc>
        <w:tc>
          <w:tcPr>
            <w:tcW w:w="137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10619</w:t>
            </w:r>
          </w:p>
        </w:tc>
        <w:tc>
          <w:tcPr>
            <w:tcW w:w="1713"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6</w:t>
            </w:r>
          </w:p>
        </w:tc>
        <w:tc>
          <w:tcPr>
            <w:tcW w:w="306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校内实训用房面积</w:t>
            </w:r>
          </w:p>
        </w:tc>
        <w:tc>
          <w:tcPr>
            <w:tcW w:w="1031" w:type="dxa"/>
            <w:vAlign w:val="center"/>
          </w:tcPr>
          <w:p>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M</w:t>
            </w:r>
            <w:r>
              <w:rPr>
                <w:rFonts w:hint="eastAsia" w:asciiTheme="majorEastAsia" w:hAnsiTheme="majorEastAsia" w:eastAsiaTheme="majorEastAsia"/>
                <w:szCs w:val="21"/>
                <w:vertAlign w:val="superscript"/>
              </w:rPr>
              <w:t>2</w:t>
            </w:r>
          </w:p>
        </w:tc>
        <w:tc>
          <w:tcPr>
            <w:tcW w:w="137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8770</w:t>
            </w:r>
          </w:p>
        </w:tc>
        <w:tc>
          <w:tcPr>
            <w:tcW w:w="1713"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7</w:t>
            </w:r>
          </w:p>
        </w:tc>
        <w:tc>
          <w:tcPr>
            <w:tcW w:w="306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固定资产总值</w:t>
            </w:r>
          </w:p>
        </w:tc>
        <w:tc>
          <w:tcPr>
            <w:tcW w:w="1031"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万元</w:t>
            </w:r>
          </w:p>
        </w:tc>
        <w:tc>
          <w:tcPr>
            <w:tcW w:w="1370"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8185</w:t>
            </w:r>
          </w:p>
        </w:tc>
        <w:tc>
          <w:tcPr>
            <w:tcW w:w="1713"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w:t>
            </w:r>
          </w:p>
        </w:tc>
      </w:tr>
    </w:tbl>
    <w:p>
      <w:pPr>
        <w:pStyle w:val="3"/>
        <w:spacing w:before="156" w:beforeLines="50" w:after="0"/>
        <w:rPr>
          <w:rFonts w:ascii="黑体" w:hAnsi="黑体" w:eastAsia="黑体"/>
          <w:sz w:val="28"/>
          <w:szCs w:val="28"/>
        </w:rPr>
      </w:pPr>
      <w:bookmarkStart w:id="4" w:name="_Toc501482403"/>
      <w:bookmarkStart w:id="5" w:name="_Toc29894690"/>
      <w:r>
        <w:rPr>
          <w:rFonts w:hint="eastAsia" w:ascii="黑体" w:hAnsi="黑体" w:eastAsia="黑体"/>
          <w:sz w:val="28"/>
          <w:szCs w:val="28"/>
        </w:rPr>
        <w:t>（二）学生情况</w:t>
      </w:r>
      <w:bookmarkEnd w:id="4"/>
      <w:bookmarkEnd w:id="5"/>
    </w:p>
    <w:p>
      <w:pPr>
        <w:spacing w:before="156" w:beforeLines="5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1.学生规模</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2018-2019学年中等职业教育全日制在校生数共计2163人，同上一学年相比增加466人，增幅13.1%；2019年毕业生为662人，毕业生数较上年增加260人；2018-2019学年招生839人，招生数较上一学年增加165人；中等职业教育全日制在校生三年巩固率为93.5%；2019年各类培训人数达780余人。中等职业教育在校生数、招生数和毕业生数变化情况见图1。</w:t>
      </w:r>
    </w:p>
    <w:p>
      <w:pPr>
        <w:ind w:left="142"/>
        <w:jc w:val="center"/>
        <w:rPr>
          <w:sz w:val="28"/>
          <w:szCs w:val="28"/>
        </w:rPr>
      </w:pPr>
      <w:r>
        <w:drawing>
          <wp:inline distT="0" distB="0" distL="0" distR="0">
            <wp:extent cx="4572000" cy="2743200"/>
            <wp:effectExtent l="0" t="0" r="1905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before="156" w:beforeLines="50" w:line="360" w:lineRule="auto"/>
        <w:jc w:val="center"/>
        <w:rPr>
          <w:szCs w:val="21"/>
        </w:rPr>
      </w:pPr>
      <w:r>
        <w:rPr>
          <w:rFonts w:hint="eastAsia"/>
          <w:szCs w:val="21"/>
        </w:rPr>
        <w:t>图1-1  中等职业教育在校生数、招生数和毕业生数变化情况</w:t>
      </w:r>
    </w:p>
    <w:p>
      <w:pPr>
        <w:spacing w:before="156" w:beforeLines="5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2.学生结构</w:t>
      </w:r>
    </w:p>
    <w:p>
      <w:pPr>
        <w:spacing w:before="156" w:beforeLines="5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学校共开设11个专业，学校2018-2019学年分专业全日制在校生统计见表2。</w:t>
      </w:r>
    </w:p>
    <w:p>
      <w:pPr>
        <w:spacing w:before="156" w:beforeLines="50" w:line="360" w:lineRule="auto"/>
        <w:jc w:val="center"/>
        <w:rPr>
          <w:szCs w:val="21"/>
        </w:rPr>
      </w:pPr>
      <w:r>
        <w:rPr>
          <w:rFonts w:hint="eastAsia"/>
          <w:szCs w:val="21"/>
        </w:rPr>
        <w:t>表1-2  分专业在校生统计表</w:t>
      </w:r>
    </w:p>
    <w:tbl>
      <w:tblPr>
        <w:tblStyle w:val="30"/>
        <w:tblW w:w="8076" w:type="dxa"/>
        <w:jc w:val="center"/>
        <w:tblLayout w:type="fixed"/>
        <w:tblCellMar>
          <w:top w:w="0" w:type="dxa"/>
          <w:left w:w="108" w:type="dxa"/>
          <w:bottom w:w="0" w:type="dxa"/>
          <w:right w:w="108" w:type="dxa"/>
        </w:tblCellMar>
      </w:tblPr>
      <w:tblGrid>
        <w:gridCol w:w="1985"/>
        <w:gridCol w:w="4017"/>
        <w:gridCol w:w="2074"/>
      </w:tblGrid>
      <w:tr>
        <w:tblPrEx>
          <w:tblCellMar>
            <w:top w:w="0" w:type="dxa"/>
            <w:left w:w="108" w:type="dxa"/>
            <w:bottom w:w="0" w:type="dxa"/>
            <w:right w:w="108" w:type="dxa"/>
          </w:tblCellMar>
        </w:tblPrEx>
        <w:trPr>
          <w:trHeight w:val="315" w:hRule="atLeast"/>
          <w:jc w:val="center"/>
        </w:trPr>
        <w:tc>
          <w:tcPr>
            <w:tcW w:w="1985" w:type="dxa"/>
            <w:tcBorders>
              <w:top w:val="single" w:color="auto" w:sz="4" w:space="0"/>
              <w:left w:val="single" w:color="auto" w:sz="4" w:space="0"/>
              <w:bottom w:val="single" w:color="auto" w:sz="4" w:space="0"/>
              <w:right w:val="single" w:color="000000" w:sz="4" w:space="0"/>
            </w:tcBorders>
            <w:shd w:val="clear" w:color="auto" w:fill="D8D8D8" w:themeFill="background1" w:themeFillShade="D9"/>
            <w:vAlign w:val="center"/>
          </w:tcPr>
          <w:p>
            <w:pPr>
              <w:spacing w:line="360" w:lineRule="auto"/>
              <w:jc w:val="center"/>
              <w:rPr>
                <w:b/>
                <w:sz w:val="24"/>
                <w:szCs w:val="24"/>
              </w:rPr>
            </w:pPr>
            <w:r>
              <w:rPr>
                <w:rFonts w:hint="eastAsia"/>
                <w:b/>
                <w:sz w:val="24"/>
                <w:szCs w:val="24"/>
              </w:rPr>
              <w:t>序号</w:t>
            </w:r>
          </w:p>
        </w:tc>
        <w:tc>
          <w:tcPr>
            <w:tcW w:w="4017" w:type="dxa"/>
            <w:tcBorders>
              <w:top w:val="single" w:color="auto" w:sz="4" w:space="0"/>
              <w:left w:val="single" w:color="auto" w:sz="4" w:space="0"/>
              <w:bottom w:val="single" w:color="auto" w:sz="4" w:space="0"/>
              <w:right w:val="single" w:color="000000" w:sz="4" w:space="0"/>
            </w:tcBorders>
            <w:shd w:val="clear" w:color="auto" w:fill="D8D8D8" w:themeFill="background1" w:themeFillShade="D9"/>
            <w:vAlign w:val="center"/>
          </w:tcPr>
          <w:p>
            <w:pPr>
              <w:spacing w:line="360" w:lineRule="auto"/>
              <w:jc w:val="center"/>
              <w:rPr>
                <w:b/>
                <w:sz w:val="24"/>
                <w:szCs w:val="24"/>
              </w:rPr>
            </w:pPr>
            <w:r>
              <w:rPr>
                <w:rFonts w:hint="eastAsia" w:ascii="宋体" w:hAnsi="宋体" w:cs="宋体"/>
                <w:b/>
                <w:color w:val="000000"/>
                <w:kern w:val="0"/>
                <w:sz w:val="24"/>
                <w:szCs w:val="24"/>
              </w:rPr>
              <w:t>专业名称</w:t>
            </w:r>
          </w:p>
        </w:tc>
        <w:tc>
          <w:tcPr>
            <w:tcW w:w="2074" w:type="dxa"/>
            <w:tcBorders>
              <w:top w:val="single" w:color="auto" w:sz="4" w:space="0"/>
              <w:left w:val="single" w:color="auto" w:sz="4" w:space="0"/>
              <w:bottom w:val="single" w:color="auto" w:sz="4" w:space="0"/>
              <w:right w:val="single" w:color="000000" w:sz="4" w:space="0"/>
            </w:tcBorders>
            <w:shd w:val="clear" w:color="auto" w:fill="D8D8D8" w:themeFill="background1" w:themeFillShade="D9"/>
            <w:vAlign w:val="center"/>
          </w:tcPr>
          <w:p>
            <w:pPr>
              <w:spacing w:line="360" w:lineRule="auto"/>
              <w:jc w:val="center"/>
              <w:rPr>
                <w:b/>
                <w:sz w:val="24"/>
                <w:szCs w:val="24"/>
              </w:rPr>
            </w:pPr>
            <w:r>
              <w:rPr>
                <w:rFonts w:hint="eastAsia" w:ascii="宋体" w:hAnsi="宋体" w:cs="宋体"/>
                <w:b/>
                <w:color w:val="000000"/>
                <w:kern w:val="0"/>
                <w:sz w:val="24"/>
                <w:szCs w:val="24"/>
              </w:rPr>
              <w:t>人数</w:t>
            </w:r>
          </w:p>
        </w:tc>
      </w:tr>
      <w:tr>
        <w:tblPrEx>
          <w:tblCellMar>
            <w:top w:w="0" w:type="dxa"/>
            <w:left w:w="108" w:type="dxa"/>
            <w:bottom w:w="0" w:type="dxa"/>
            <w:right w:w="108" w:type="dxa"/>
          </w:tblCellMar>
        </w:tblPrEx>
        <w:trPr>
          <w:trHeight w:val="300" w:hRule="atLeast"/>
          <w:jc w:val="center"/>
        </w:trPr>
        <w:tc>
          <w:tcPr>
            <w:tcW w:w="1985"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w:t>
            </w:r>
          </w:p>
        </w:tc>
        <w:tc>
          <w:tcPr>
            <w:tcW w:w="40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计算机平面设计</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443</w:t>
            </w:r>
          </w:p>
        </w:tc>
      </w:tr>
      <w:tr>
        <w:tblPrEx>
          <w:tblCellMar>
            <w:top w:w="0" w:type="dxa"/>
            <w:left w:w="108" w:type="dxa"/>
            <w:bottom w:w="0" w:type="dxa"/>
            <w:right w:w="108" w:type="dxa"/>
          </w:tblCellMar>
        </w:tblPrEx>
        <w:trPr>
          <w:trHeight w:val="503" w:hRule="atLeast"/>
          <w:jc w:val="center"/>
        </w:trPr>
        <w:tc>
          <w:tcPr>
            <w:tcW w:w="1985"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2</w:t>
            </w:r>
          </w:p>
        </w:tc>
        <w:tc>
          <w:tcPr>
            <w:tcW w:w="40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空中乘务</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95</w:t>
            </w:r>
          </w:p>
        </w:tc>
      </w:tr>
      <w:tr>
        <w:tblPrEx>
          <w:tblCellMar>
            <w:top w:w="0" w:type="dxa"/>
            <w:left w:w="108" w:type="dxa"/>
            <w:bottom w:w="0" w:type="dxa"/>
            <w:right w:w="108" w:type="dxa"/>
          </w:tblCellMar>
        </w:tblPrEx>
        <w:trPr>
          <w:trHeight w:val="300" w:hRule="atLeast"/>
          <w:jc w:val="center"/>
        </w:trPr>
        <w:tc>
          <w:tcPr>
            <w:tcW w:w="1985"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3</w:t>
            </w:r>
          </w:p>
        </w:tc>
        <w:tc>
          <w:tcPr>
            <w:tcW w:w="40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电子技术应用</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205</w:t>
            </w:r>
          </w:p>
        </w:tc>
      </w:tr>
      <w:tr>
        <w:tblPrEx>
          <w:tblCellMar>
            <w:top w:w="0" w:type="dxa"/>
            <w:left w:w="108" w:type="dxa"/>
            <w:bottom w:w="0" w:type="dxa"/>
            <w:right w:w="108" w:type="dxa"/>
          </w:tblCellMar>
        </w:tblPrEx>
        <w:trPr>
          <w:trHeight w:val="300" w:hRule="atLeast"/>
          <w:jc w:val="center"/>
        </w:trPr>
        <w:tc>
          <w:tcPr>
            <w:tcW w:w="1985"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4</w:t>
            </w:r>
          </w:p>
        </w:tc>
        <w:tc>
          <w:tcPr>
            <w:tcW w:w="40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电子商务</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162</w:t>
            </w:r>
          </w:p>
        </w:tc>
      </w:tr>
      <w:tr>
        <w:tblPrEx>
          <w:tblCellMar>
            <w:top w:w="0" w:type="dxa"/>
            <w:left w:w="108" w:type="dxa"/>
            <w:bottom w:w="0" w:type="dxa"/>
            <w:right w:w="108" w:type="dxa"/>
          </w:tblCellMar>
        </w:tblPrEx>
        <w:trPr>
          <w:trHeight w:val="300" w:hRule="atLeast"/>
          <w:jc w:val="center"/>
        </w:trPr>
        <w:tc>
          <w:tcPr>
            <w:tcW w:w="1985"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5</w:t>
            </w:r>
          </w:p>
        </w:tc>
        <w:tc>
          <w:tcPr>
            <w:tcW w:w="40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服装设计与工艺</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64</w:t>
            </w:r>
          </w:p>
        </w:tc>
      </w:tr>
      <w:tr>
        <w:tblPrEx>
          <w:tblCellMar>
            <w:top w:w="0" w:type="dxa"/>
            <w:left w:w="108" w:type="dxa"/>
            <w:bottom w:w="0" w:type="dxa"/>
            <w:right w:w="108" w:type="dxa"/>
          </w:tblCellMar>
        </w:tblPrEx>
        <w:trPr>
          <w:trHeight w:val="300"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6</w:t>
            </w:r>
          </w:p>
        </w:tc>
        <w:tc>
          <w:tcPr>
            <w:tcW w:w="40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机械加工技术</w:t>
            </w:r>
          </w:p>
        </w:tc>
        <w:tc>
          <w:tcPr>
            <w:tcW w:w="2074"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305</w:t>
            </w:r>
          </w:p>
        </w:tc>
      </w:tr>
      <w:tr>
        <w:tblPrEx>
          <w:tblCellMar>
            <w:top w:w="0" w:type="dxa"/>
            <w:left w:w="108" w:type="dxa"/>
            <w:bottom w:w="0" w:type="dxa"/>
            <w:right w:w="108" w:type="dxa"/>
          </w:tblCellMar>
        </w:tblPrEx>
        <w:trPr>
          <w:trHeight w:val="300" w:hRule="atLeast"/>
          <w:jc w:val="center"/>
        </w:trPr>
        <w:tc>
          <w:tcPr>
            <w:tcW w:w="1985"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7</w:t>
            </w:r>
          </w:p>
        </w:tc>
        <w:tc>
          <w:tcPr>
            <w:tcW w:w="40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数控技术应用</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101</w:t>
            </w:r>
          </w:p>
        </w:tc>
      </w:tr>
      <w:tr>
        <w:tblPrEx>
          <w:tblCellMar>
            <w:top w:w="0" w:type="dxa"/>
            <w:left w:w="108" w:type="dxa"/>
            <w:bottom w:w="0" w:type="dxa"/>
            <w:right w:w="108" w:type="dxa"/>
          </w:tblCellMar>
        </w:tblPrEx>
        <w:trPr>
          <w:trHeight w:val="300" w:hRule="atLeast"/>
          <w:jc w:val="center"/>
        </w:trPr>
        <w:tc>
          <w:tcPr>
            <w:tcW w:w="1985"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8</w:t>
            </w:r>
          </w:p>
        </w:tc>
        <w:tc>
          <w:tcPr>
            <w:tcW w:w="40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计算机应用</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243</w:t>
            </w:r>
          </w:p>
        </w:tc>
      </w:tr>
      <w:tr>
        <w:tblPrEx>
          <w:tblCellMar>
            <w:top w:w="0" w:type="dxa"/>
            <w:left w:w="108" w:type="dxa"/>
            <w:bottom w:w="0" w:type="dxa"/>
            <w:right w:w="108" w:type="dxa"/>
          </w:tblCellMar>
        </w:tblPrEx>
        <w:trPr>
          <w:trHeight w:val="300" w:hRule="atLeast"/>
          <w:jc w:val="center"/>
        </w:trPr>
        <w:tc>
          <w:tcPr>
            <w:tcW w:w="1985"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9</w:t>
            </w:r>
          </w:p>
        </w:tc>
        <w:tc>
          <w:tcPr>
            <w:tcW w:w="40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汽车应用与维修</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267</w:t>
            </w:r>
          </w:p>
        </w:tc>
      </w:tr>
      <w:tr>
        <w:tblPrEx>
          <w:tblCellMar>
            <w:top w:w="0" w:type="dxa"/>
            <w:left w:w="108" w:type="dxa"/>
            <w:bottom w:w="0" w:type="dxa"/>
            <w:right w:w="108" w:type="dxa"/>
          </w:tblCellMar>
        </w:tblPrEx>
        <w:trPr>
          <w:trHeight w:val="300" w:hRule="atLeast"/>
          <w:jc w:val="center"/>
        </w:trPr>
        <w:tc>
          <w:tcPr>
            <w:tcW w:w="1985"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10</w:t>
            </w:r>
          </w:p>
        </w:tc>
        <w:tc>
          <w:tcPr>
            <w:tcW w:w="40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旅游服务与管理</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120</w:t>
            </w:r>
          </w:p>
        </w:tc>
      </w:tr>
      <w:tr>
        <w:tblPrEx>
          <w:tblCellMar>
            <w:top w:w="0" w:type="dxa"/>
            <w:left w:w="108" w:type="dxa"/>
            <w:bottom w:w="0" w:type="dxa"/>
            <w:right w:w="108" w:type="dxa"/>
          </w:tblCellMar>
        </w:tblPrEx>
        <w:trPr>
          <w:trHeight w:val="300" w:hRule="atLeast"/>
          <w:jc w:val="center"/>
        </w:trPr>
        <w:tc>
          <w:tcPr>
            <w:tcW w:w="1985"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11</w:t>
            </w:r>
          </w:p>
        </w:tc>
        <w:tc>
          <w:tcPr>
            <w:tcW w:w="40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畜禽生产与疾病防治</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60</w:t>
            </w:r>
          </w:p>
        </w:tc>
      </w:tr>
      <w:tr>
        <w:tblPrEx>
          <w:tblCellMar>
            <w:top w:w="0" w:type="dxa"/>
            <w:left w:w="108" w:type="dxa"/>
            <w:bottom w:w="0" w:type="dxa"/>
            <w:right w:w="108" w:type="dxa"/>
          </w:tblCellMar>
        </w:tblPrEx>
        <w:trPr>
          <w:trHeight w:val="434" w:hRule="atLeast"/>
          <w:jc w:val="center"/>
        </w:trPr>
        <w:tc>
          <w:tcPr>
            <w:tcW w:w="6002"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合计</w:t>
            </w:r>
          </w:p>
        </w:tc>
        <w:tc>
          <w:tcPr>
            <w:tcW w:w="207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2163</w:t>
            </w:r>
          </w:p>
        </w:tc>
      </w:tr>
    </w:tbl>
    <w:p>
      <w:pPr>
        <w:pStyle w:val="3"/>
        <w:spacing w:before="156" w:beforeLines="50" w:after="0"/>
        <w:rPr>
          <w:rFonts w:ascii="黑体" w:hAnsi="黑体" w:eastAsia="黑体"/>
          <w:sz w:val="28"/>
          <w:szCs w:val="28"/>
        </w:rPr>
      </w:pPr>
      <w:bookmarkStart w:id="6" w:name="_Toc29894691"/>
      <w:bookmarkStart w:id="7" w:name="_Toc501482404"/>
      <w:r>
        <w:rPr>
          <w:rFonts w:hint="eastAsia" w:ascii="黑体" w:hAnsi="黑体" w:eastAsia="黑体"/>
          <w:sz w:val="28"/>
          <w:szCs w:val="28"/>
        </w:rPr>
        <w:t>（三）教师队伍</w:t>
      </w:r>
      <w:bookmarkEnd w:id="6"/>
      <w:bookmarkEnd w:id="7"/>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学校有一支热爱学校、热爱职教、专业水平较高、勤奋工作的教师队伍，教师年龄结构合理，老、中、青教师形成梯队，为学校质量提升奠定了良好的基础。</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现有教师教职员工228人，其中专任教师172人，其中，双龙校区因特殊的地理位置，办有义务教育阶段教育，有41人从事义务教育阶段教育工作。职高专任教师131人，兼职教师15人，学生2163人，生师比为16.5:1。教师队伍结构合理，专任专业课教师73 人，占专任教师的55%；专任专业课教师中“双师型”教师52人，占专任专业课教师的71.2%；专任教师中本科及以上学历121人，占专任教师的92.8% ；高级职称31人，占专任教师的18.02%；中级职称69人，占专任教师的40.11%。</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从企业、行业的生产（管理）一线聘请具有理论教学或实践教学经验的技能人才、能工巧匠等专业人士担任学校教学与实训工作，所聘请的兼职教师都是行业技术骨干，具有较强的实践工作能力，大多数具有中、高级技能等级证书。兼职教师总数15人，占职高专任教师的11.9%。</w:t>
      </w:r>
    </w:p>
    <w:p>
      <w:pPr>
        <w:spacing w:before="156" w:beforeLines="50" w:line="360" w:lineRule="auto"/>
        <w:jc w:val="center"/>
        <w:rPr>
          <w:szCs w:val="21"/>
        </w:rPr>
      </w:pPr>
      <w:r>
        <w:rPr>
          <w:rFonts w:hint="eastAsia"/>
          <w:szCs w:val="21"/>
        </w:rPr>
        <w:t>表1-3  职高专任教师基本情况表</w:t>
      </w:r>
    </w:p>
    <w:tbl>
      <w:tblPr>
        <w:tblStyle w:val="30"/>
        <w:tblW w:w="900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13" w:type="dxa"/>
          <w:left w:w="113" w:type="dxa"/>
          <w:bottom w:w="113" w:type="dxa"/>
          <w:right w:w="113" w:type="dxa"/>
        </w:tblCellMar>
      </w:tblPr>
      <w:tblGrid>
        <w:gridCol w:w="727"/>
        <w:gridCol w:w="147"/>
        <w:gridCol w:w="875"/>
        <w:gridCol w:w="20"/>
        <w:gridCol w:w="678"/>
        <w:gridCol w:w="427"/>
        <w:gridCol w:w="537"/>
        <w:gridCol w:w="334"/>
        <w:gridCol w:w="376"/>
        <w:gridCol w:w="499"/>
        <w:gridCol w:w="211"/>
        <w:gridCol w:w="663"/>
        <w:gridCol w:w="47"/>
        <w:gridCol w:w="710"/>
        <w:gridCol w:w="118"/>
        <w:gridCol w:w="592"/>
        <w:gridCol w:w="283"/>
        <w:gridCol w:w="427"/>
        <w:gridCol w:w="448"/>
        <w:gridCol w:w="263"/>
        <w:gridCol w:w="612"/>
        <w:gridCol w:w="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3" w:type="dxa"/>
            <w:left w:w="113" w:type="dxa"/>
            <w:bottom w:w="113" w:type="dxa"/>
            <w:right w:w="113" w:type="dxa"/>
          </w:tblCellMar>
        </w:tblPrEx>
        <w:trPr>
          <w:cantSplit/>
          <w:trHeight w:val="215" w:hRule="atLeast"/>
          <w:jc w:val="center"/>
        </w:trPr>
        <w:tc>
          <w:tcPr>
            <w:tcW w:w="1769" w:type="dxa"/>
            <w:gridSpan w:val="4"/>
            <w:vMerge w:val="restart"/>
            <w:vAlign w:val="center"/>
          </w:tcPr>
          <w:p>
            <w:pPr>
              <w:ind w:firstLine="843" w:firstLineChars="350"/>
              <w:rPr>
                <w:rFonts w:ascii="宋体" w:hAnsi="宋体"/>
                <w:b/>
                <w:sz w:val="24"/>
                <w:szCs w:val="24"/>
              </w:rPr>
            </w:pPr>
            <w:r>
              <w:rPr>
                <w:rFonts w:ascii="宋体" w:hAnsi="宋体"/>
                <w:b/>
                <w:sz w:val="24"/>
                <w:szCs w:val="24"/>
              </w:rPr>
              <mc:AlternateContent>
                <mc:Choice Requires="wps">
                  <w:drawing>
                    <wp:anchor distT="0" distB="0" distL="114300" distR="114300" simplePos="0" relativeHeight="251650048" behindDoc="0" locked="0" layoutInCell="1" allowOverlap="1">
                      <wp:simplePos x="0" y="0"/>
                      <wp:positionH relativeFrom="column">
                        <wp:posOffset>-36195</wp:posOffset>
                      </wp:positionH>
                      <wp:positionV relativeFrom="paragraph">
                        <wp:posOffset>-61595</wp:posOffset>
                      </wp:positionV>
                      <wp:extent cx="1076325" cy="990600"/>
                      <wp:effectExtent l="5080" t="12700" r="13970" b="6350"/>
                      <wp:wrapNone/>
                      <wp:docPr id="3" name="任意多边形 3"/>
                      <wp:cNvGraphicFramePr/>
                      <a:graphic xmlns:a="http://schemas.openxmlformats.org/drawingml/2006/main">
                        <a:graphicData uri="http://schemas.microsoft.com/office/word/2010/wordprocessingShape">
                          <wps:wsp>
                            <wps:cNvSpPr>
                              <a:spLocks noChangeArrowheads="1"/>
                            </wps:cNvSpPr>
                            <wps:spPr bwMode="auto">
                              <a:xfrm>
                                <a:off x="0" y="0"/>
                                <a:ext cx="1076325" cy="990600"/>
                              </a:xfrm>
                              <a:custGeom>
                                <a:avLst/>
                                <a:gdLst>
                                  <a:gd name="T0" fmla="*/ 0 w 1335"/>
                                  <a:gd name="T1" fmla="*/ 0 h 1245"/>
                                  <a:gd name="T2" fmla="*/ 1335 w 1335"/>
                                  <a:gd name="T3" fmla="*/ 1245 h 1245"/>
                                </a:gdLst>
                                <a:ahLst/>
                                <a:cxnLst>
                                  <a:cxn ang="0">
                                    <a:pos x="T0" y="T1"/>
                                  </a:cxn>
                                  <a:cxn ang="0">
                                    <a:pos x="T2" y="T3"/>
                                  </a:cxn>
                                </a:cxnLst>
                                <a:rect l="0" t="0" r="r" b="b"/>
                                <a:pathLst>
                                  <a:path w="1335" h="1245">
                                    <a:moveTo>
                                      <a:pt x="0" y="0"/>
                                    </a:moveTo>
                                    <a:lnTo>
                                      <a:pt x="1335" y="1245"/>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85pt;margin-top:-4.85pt;height:78pt;width:84.75pt;z-index:251650048;mso-width-relative:page;mso-height-relative:page;" filled="f" stroked="t" coordsize="1335,1245" o:gfxdata="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OowW31wAAAAkBAAAPAAAAAAAA&#10;AAEAIAAAACIAAABkcnMvZG93bnJldi54bWxQSwECFAAUAAAACACHTuJAqvEtSb4CAAC3BQAADgAA&#10;AAAAAAABACAAAAAmAQAAZHJzL2Uyb0RvYy54bWxQSwUGAAAAAAYABgBZAQAAVgYAAAAA&#10;" path="m0,0l1335,1245e">
                      <v:path o:connectlocs="0,0;1076325,990600" o:connectangles="0,0"/>
                      <v:fill on="f" focussize="0,0"/>
                      <v:stroke color="#000000" joinstyle="round"/>
                      <v:imagedata o:title=""/>
                      <o:lock v:ext="edit" aspectratio="f"/>
                    </v:shape>
                  </w:pict>
                </mc:Fallback>
              </mc:AlternateContent>
            </w:r>
          </w:p>
          <w:p>
            <w:pPr>
              <w:ind w:firstLine="964" w:firstLineChars="400"/>
              <w:rPr>
                <w:rFonts w:ascii="宋体" w:hAnsi="宋体"/>
                <w:b/>
                <w:sz w:val="24"/>
                <w:szCs w:val="24"/>
              </w:rPr>
            </w:pPr>
            <w:r>
              <w:rPr>
                <w:rFonts w:hint="eastAsia" w:ascii="宋体" w:hAnsi="宋体"/>
                <w:b/>
                <w:sz w:val="24"/>
                <w:szCs w:val="24"/>
              </w:rPr>
              <w:t>项目</w:t>
            </w:r>
          </w:p>
          <w:p>
            <w:pPr>
              <w:ind w:firstLine="241" w:firstLineChars="100"/>
              <w:rPr>
                <w:rFonts w:ascii="宋体" w:hAnsi="宋体"/>
                <w:b/>
                <w:sz w:val="24"/>
                <w:szCs w:val="24"/>
              </w:rPr>
            </w:pPr>
            <w:r>
              <w:rPr>
                <w:rFonts w:ascii="宋体" w:hAnsi="宋体"/>
                <w:b/>
                <w:sz w:val="24"/>
                <w:szCs w:val="24"/>
              </w:rPr>
              <mc:AlternateContent>
                <mc:Choice Requires="wps">
                  <w:drawing>
                    <wp:anchor distT="0" distB="0" distL="114300" distR="114300" simplePos="0" relativeHeight="251651072" behindDoc="0" locked="0" layoutInCell="1" allowOverlap="1">
                      <wp:simplePos x="0" y="0"/>
                      <wp:positionH relativeFrom="column">
                        <wp:posOffset>-45720</wp:posOffset>
                      </wp:positionH>
                      <wp:positionV relativeFrom="paragraph">
                        <wp:posOffset>106680</wp:posOffset>
                      </wp:positionV>
                      <wp:extent cx="1076325" cy="485775"/>
                      <wp:effectExtent l="5080" t="5715" r="13970" b="13335"/>
                      <wp:wrapNone/>
                      <wp:docPr id="2" name="任意多边形 2"/>
                      <wp:cNvGraphicFramePr/>
                      <a:graphic xmlns:a="http://schemas.openxmlformats.org/drawingml/2006/main">
                        <a:graphicData uri="http://schemas.microsoft.com/office/word/2010/wordprocessingShape">
                          <wps:wsp>
                            <wps:cNvSpPr>
                              <a:spLocks noChangeArrowheads="1"/>
                            </wps:cNvSpPr>
                            <wps:spPr bwMode="auto">
                              <a:xfrm>
                                <a:off x="0" y="0"/>
                                <a:ext cx="1076325" cy="485775"/>
                              </a:xfrm>
                              <a:custGeom>
                                <a:avLst/>
                                <a:gdLst>
                                  <a:gd name="T0" fmla="*/ 0 w 1605"/>
                                  <a:gd name="T1" fmla="*/ 0 h 465"/>
                                  <a:gd name="T2" fmla="*/ 1605 w 1605"/>
                                  <a:gd name="T3" fmla="*/ 465 h 465"/>
                                </a:gdLst>
                                <a:ahLst/>
                                <a:cxnLst>
                                  <a:cxn ang="0">
                                    <a:pos x="T0" y="T1"/>
                                  </a:cxn>
                                  <a:cxn ang="0">
                                    <a:pos x="T2" y="T3"/>
                                  </a:cxn>
                                </a:cxnLst>
                                <a:rect l="0" t="0" r="r" b="b"/>
                                <a:pathLst>
                                  <a:path w="1605" h="465">
                                    <a:moveTo>
                                      <a:pt x="0" y="0"/>
                                    </a:moveTo>
                                    <a:lnTo>
                                      <a:pt x="1605" y="465"/>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6pt;margin-top:8.4pt;height:38.25pt;width:84.75pt;z-index:251651072;mso-width-relative:page;mso-height-relative:page;" filled="f" stroked="t" coordsize="1605,465" o:gfxdata="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O3k1Y1gAAAAgBAAAPAAAAAAAAAAEA&#10;IAAAACIAAABkcnMvZG93bnJldi54bWxQSwECFAAUAAAACACHTuJAsfKfX7wCAACyBQAADgAAAAAA&#10;AAABACAAAAAlAQAAZHJzL2Uyb0RvYy54bWxQSwUGAAAAAAYABgBZAQAAUwYAAAAA&#10;" path="m0,0l1605,465e">
                      <v:path o:connectlocs="0,0;1076325,485775" o:connectangles="0,0"/>
                      <v:fill on="f" focussize="0,0"/>
                      <v:stroke color="#000000" joinstyle="round"/>
                      <v:imagedata o:title=""/>
                      <o:lock v:ext="edit" aspectratio="f"/>
                    </v:shape>
                  </w:pict>
                </mc:Fallback>
              </mc:AlternateContent>
            </w:r>
            <w:r>
              <w:rPr>
                <w:rFonts w:hint="eastAsia" w:ascii="宋体" w:hAnsi="宋体"/>
                <w:b/>
                <w:sz w:val="24"/>
                <w:szCs w:val="24"/>
              </w:rPr>
              <w:t>人数</w:t>
            </w:r>
          </w:p>
          <w:p>
            <w:pPr>
              <w:rPr>
                <w:rFonts w:ascii="宋体" w:hAnsi="宋体"/>
                <w:b/>
                <w:sz w:val="24"/>
                <w:szCs w:val="24"/>
              </w:rPr>
            </w:pPr>
          </w:p>
          <w:p>
            <w:pPr>
              <w:rPr>
                <w:rFonts w:ascii="宋体" w:hAnsi="宋体"/>
                <w:b/>
                <w:sz w:val="24"/>
                <w:szCs w:val="24"/>
              </w:rPr>
            </w:pPr>
            <w:r>
              <w:rPr>
                <w:rFonts w:hint="eastAsia" w:ascii="宋体" w:hAnsi="宋体"/>
                <w:b/>
                <w:sz w:val="24"/>
                <w:szCs w:val="24"/>
              </w:rPr>
              <w:t xml:space="preserve">  分类</w:t>
            </w:r>
          </w:p>
        </w:tc>
        <w:tc>
          <w:tcPr>
            <w:tcW w:w="678" w:type="dxa"/>
            <w:vMerge w:val="restart"/>
            <w:vAlign w:val="center"/>
          </w:tcPr>
          <w:p>
            <w:pPr>
              <w:spacing w:line="320" w:lineRule="exact"/>
              <w:jc w:val="center"/>
              <w:rPr>
                <w:rFonts w:ascii="宋体" w:hAnsi="宋体"/>
                <w:b/>
                <w:sz w:val="24"/>
                <w:szCs w:val="24"/>
              </w:rPr>
            </w:pPr>
            <w:r>
              <w:rPr>
                <w:rFonts w:hint="eastAsia" w:ascii="宋体" w:hAnsi="宋体"/>
                <w:b/>
                <w:sz w:val="24"/>
                <w:szCs w:val="24"/>
              </w:rPr>
              <w:t>人</w:t>
            </w:r>
          </w:p>
          <w:p>
            <w:pPr>
              <w:jc w:val="center"/>
              <w:rPr>
                <w:rFonts w:ascii="宋体" w:hAnsi="宋体"/>
                <w:b/>
                <w:sz w:val="24"/>
                <w:szCs w:val="24"/>
              </w:rPr>
            </w:pPr>
            <w:r>
              <w:rPr>
                <w:rFonts w:hint="eastAsia" w:ascii="宋体" w:hAnsi="宋体"/>
                <w:b/>
                <w:sz w:val="24"/>
                <w:szCs w:val="24"/>
              </w:rPr>
              <w:t>数</w:t>
            </w:r>
          </w:p>
        </w:tc>
        <w:tc>
          <w:tcPr>
            <w:tcW w:w="3804" w:type="dxa"/>
            <w:gridSpan w:val="9"/>
            <w:vAlign w:val="center"/>
          </w:tcPr>
          <w:p>
            <w:pPr>
              <w:jc w:val="center"/>
              <w:rPr>
                <w:rFonts w:ascii="宋体" w:hAnsi="宋体"/>
                <w:b/>
                <w:sz w:val="24"/>
                <w:szCs w:val="24"/>
              </w:rPr>
            </w:pPr>
            <w:r>
              <w:rPr>
                <w:rFonts w:hint="eastAsia" w:ascii="宋体" w:hAnsi="宋体"/>
                <w:b/>
                <w:sz w:val="24"/>
                <w:szCs w:val="24"/>
              </w:rPr>
              <w:t>学历情况</w:t>
            </w:r>
          </w:p>
        </w:tc>
        <w:tc>
          <w:tcPr>
            <w:tcW w:w="2751" w:type="dxa"/>
            <w:gridSpan w:val="8"/>
            <w:vAlign w:val="center"/>
          </w:tcPr>
          <w:p>
            <w:pPr>
              <w:jc w:val="center"/>
              <w:rPr>
                <w:rFonts w:ascii="宋体" w:hAnsi="宋体"/>
                <w:b/>
                <w:sz w:val="24"/>
                <w:szCs w:val="24"/>
              </w:rPr>
            </w:pPr>
            <w:r>
              <w:rPr>
                <w:rFonts w:hint="eastAsia" w:ascii="宋体" w:hAnsi="宋体"/>
                <w:b/>
                <w:sz w:val="24"/>
                <w:szCs w:val="24"/>
              </w:rPr>
              <w:t>职称情况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3" w:type="dxa"/>
            <w:left w:w="113" w:type="dxa"/>
            <w:bottom w:w="113" w:type="dxa"/>
            <w:right w:w="113" w:type="dxa"/>
          </w:tblCellMar>
        </w:tblPrEx>
        <w:trPr>
          <w:cantSplit/>
          <w:trHeight w:val="921" w:hRule="atLeast"/>
          <w:jc w:val="center"/>
        </w:trPr>
        <w:tc>
          <w:tcPr>
            <w:tcW w:w="1769" w:type="dxa"/>
            <w:gridSpan w:val="4"/>
            <w:vMerge w:val="continue"/>
            <w:vAlign w:val="center"/>
          </w:tcPr>
          <w:p>
            <w:pPr>
              <w:rPr>
                <w:rFonts w:ascii="宋体" w:hAnsi="宋体"/>
                <w:b/>
                <w:sz w:val="24"/>
                <w:szCs w:val="24"/>
              </w:rPr>
            </w:pPr>
          </w:p>
        </w:tc>
        <w:tc>
          <w:tcPr>
            <w:tcW w:w="678" w:type="dxa"/>
            <w:vMerge w:val="continue"/>
            <w:vAlign w:val="center"/>
          </w:tcPr>
          <w:p>
            <w:pPr>
              <w:jc w:val="center"/>
              <w:rPr>
                <w:rFonts w:ascii="宋体" w:hAnsi="宋体"/>
                <w:b/>
                <w:sz w:val="24"/>
                <w:szCs w:val="24"/>
              </w:rPr>
            </w:pPr>
          </w:p>
        </w:tc>
        <w:tc>
          <w:tcPr>
            <w:tcW w:w="964" w:type="dxa"/>
            <w:gridSpan w:val="2"/>
            <w:vAlign w:val="center"/>
          </w:tcPr>
          <w:p>
            <w:pPr>
              <w:jc w:val="center"/>
              <w:rPr>
                <w:rFonts w:ascii="宋体" w:hAnsi="宋体"/>
                <w:b/>
                <w:sz w:val="24"/>
                <w:szCs w:val="24"/>
              </w:rPr>
            </w:pPr>
            <w:r>
              <w:rPr>
                <w:rFonts w:hint="eastAsia" w:ascii="宋体" w:hAnsi="宋体"/>
                <w:b/>
                <w:sz w:val="24"/>
                <w:szCs w:val="24"/>
              </w:rPr>
              <w:t>研</w:t>
            </w:r>
          </w:p>
          <w:p>
            <w:pPr>
              <w:jc w:val="center"/>
              <w:rPr>
                <w:rFonts w:ascii="宋体" w:hAnsi="宋体"/>
                <w:b/>
                <w:sz w:val="24"/>
                <w:szCs w:val="24"/>
              </w:rPr>
            </w:pPr>
            <w:r>
              <w:rPr>
                <w:rFonts w:hint="eastAsia" w:ascii="宋体" w:hAnsi="宋体"/>
                <w:b/>
                <w:sz w:val="24"/>
                <w:szCs w:val="24"/>
              </w:rPr>
              <w:t>究</w:t>
            </w:r>
          </w:p>
          <w:p>
            <w:pPr>
              <w:jc w:val="center"/>
              <w:rPr>
                <w:rFonts w:ascii="宋体" w:hAnsi="宋体"/>
                <w:b/>
                <w:sz w:val="24"/>
                <w:szCs w:val="24"/>
              </w:rPr>
            </w:pPr>
            <w:r>
              <w:rPr>
                <w:rFonts w:hint="eastAsia" w:ascii="宋体" w:hAnsi="宋体"/>
                <w:b/>
                <w:sz w:val="24"/>
                <w:szCs w:val="24"/>
              </w:rPr>
              <w:t>生</w:t>
            </w:r>
          </w:p>
        </w:tc>
        <w:tc>
          <w:tcPr>
            <w:tcW w:w="710" w:type="dxa"/>
            <w:gridSpan w:val="2"/>
            <w:vAlign w:val="center"/>
          </w:tcPr>
          <w:p>
            <w:pPr>
              <w:jc w:val="center"/>
              <w:rPr>
                <w:rFonts w:ascii="宋体" w:hAnsi="宋体"/>
                <w:b/>
                <w:sz w:val="24"/>
                <w:szCs w:val="24"/>
              </w:rPr>
            </w:pPr>
            <w:r>
              <w:rPr>
                <w:rFonts w:hint="eastAsia" w:ascii="宋体" w:hAnsi="宋体"/>
                <w:b/>
                <w:sz w:val="24"/>
                <w:szCs w:val="24"/>
              </w:rPr>
              <w:t>本</w:t>
            </w:r>
          </w:p>
          <w:p>
            <w:pPr>
              <w:jc w:val="center"/>
              <w:rPr>
                <w:rFonts w:ascii="宋体" w:hAnsi="宋体"/>
                <w:b/>
                <w:sz w:val="24"/>
                <w:szCs w:val="24"/>
              </w:rPr>
            </w:pPr>
            <w:r>
              <w:rPr>
                <w:rFonts w:hint="eastAsia" w:ascii="宋体" w:hAnsi="宋体"/>
                <w:b/>
                <w:sz w:val="24"/>
                <w:szCs w:val="24"/>
              </w:rPr>
              <w:t>科</w:t>
            </w:r>
          </w:p>
        </w:tc>
        <w:tc>
          <w:tcPr>
            <w:tcW w:w="710" w:type="dxa"/>
            <w:gridSpan w:val="2"/>
            <w:vAlign w:val="center"/>
          </w:tcPr>
          <w:p>
            <w:pPr>
              <w:jc w:val="center"/>
              <w:rPr>
                <w:rFonts w:ascii="宋体" w:hAnsi="宋体"/>
                <w:b/>
                <w:sz w:val="24"/>
                <w:szCs w:val="24"/>
              </w:rPr>
            </w:pPr>
            <w:r>
              <w:rPr>
                <w:rFonts w:hint="eastAsia" w:ascii="宋体" w:hAnsi="宋体"/>
                <w:b/>
                <w:sz w:val="24"/>
                <w:szCs w:val="24"/>
              </w:rPr>
              <w:t>专</w:t>
            </w:r>
          </w:p>
          <w:p>
            <w:pPr>
              <w:jc w:val="center"/>
              <w:rPr>
                <w:rFonts w:ascii="宋体" w:hAnsi="宋体"/>
                <w:b/>
                <w:sz w:val="24"/>
                <w:szCs w:val="24"/>
              </w:rPr>
            </w:pPr>
            <w:r>
              <w:rPr>
                <w:rFonts w:hint="eastAsia" w:ascii="宋体" w:hAnsi="宋体"/>
                <w:b/>
                <w:sz w:val="24"/>
                <w:szCs w:val="24"/>
              </w:rPr>
              <w:t>科</w:t>
            </w:r>
          </w:p>
        </w:tc>
        <w:tc>
          <w:tcPr>
            <w:tcW w:w="710" w:type="dxa"/>
            <w:gridSpan w:val="2"/>
            <w:vAlign w:val="center"/>
          </w:tcPr>
          <w:p>
            <w:pPr>
              <w:jc w:val="center"/>
              <w:rPr>
                <w:rFonts w:ascii="宋体" w:hAnsi="宋体"/>
                <w:b/>
                <w:sz w:val="24"/>
                <w:szCs w:val="24"/>
              </w:rPr>
            </w:pPr>
            <w:r>
              <w:rPr>
                <w:rFonts w:hint="eastAsia" w:ascii="宋体" w:hAnsi="宋体"/>
                <w:b/>
                <w:sz w:val="24"/>
                <w:szCs w:val="24"/>
              </w:rPr>
              <w:t>中</w:t>
            </w:r>
          </w:p>
          <w:p>
            <w:pPr>
              <w:jc w:val="center"/>
              <w:rPr>
                <w:rFonts w:ascii="宋体" w:hAnsi="宋体"/>
                <w:b/>
                <w:sz w:val="24"/>
                <w:szCs w:val="24"/>
              </w:rPr>
            </w:pPr>
            <w:r>
              <w:rPr>
                <w:rFonts w:hint="eastAsia" w:ascii="宋体" w:hAnsi="宋体"/>
                <w:b/>
                <w:sz w:val="24"/>
                <w:szCs w:val="24"/>
              </w:rPr>
              <w:t>职</w:t>
            </w:r>
          </w:p>
        </w:tc>
        <w:tc>
          <w:tcPr>
            <w:tcW w:w="710" w:type="dxa"/>
            <w:vAlign w:val="center"/>
          </w:tcPr>
          <w:p>
            <w:pPr>
              <w:jc w:val="center"/>
              <w:rPr>
                <w:rFonts w:ascii="宋体" w:hAnsi="宋体"/>
                <w:b/>
                <w:sz w:val="24"/>
                <w:szCs w:val="24"/>
              </w:rPr>
            </w:pPr>
            <w:r>
              <w:rPr>
                <w:rFonts w:hint="eastAsia" w:ascii="宋体" w:hAnsi="宋体"/>
                <w:b/>
                <w:sz w:val="24"/>
                <w:szCs w:val="24"/>
              </w:rPr>
              <w:t>其</w:t>
            </w:r>
          </w:p>
          <w:p>
            <w:pPr>
              <w:jc w:val="center"/>
              <w:rPr>
                <w:rFonts w:ascii="宋体" w:hAnsi="宋体"/>
                <w:b/>
                <w:sz w:val="24"/>
                <w:szCs w:val="24"/>
              </w:rPr>
            </w:pPr>
            <w:r>
              <w:rPr>
                <w:rFonts w:hint="eastAsia" w:ascii="宋体" w:hAnsi="宋体"/>
                <w:b/>
                <w:sz w:val="24"/>
                <w:szCs w:val="24"/>
              </w:rPr>
              <w:t>他</w:t>
            </w:r>
          </w:p>
        </w:tc>
        <w:tc>
          <w:tcPr>
            <w:tcW w:w="710" w:type="dxa"/>
            <w:gridSpan w:val="2"/>
            <w:vAlign w:val="center"/>
          </w:tcPr>
          <w:p>
            <w:pPr>
              <w:jc w:val="center"/>
              <w:rPr>
                <w:rFonts w:ascii="宋体" w:hAnsi="宋体"/>
                <w:b/>
                <w:sz w:val="24"/>
                <w:szCs w:val="24"/>
              </w:rPr>
            </w:pPr>
            <w:r>
              <w:rPr>
                <w:rFonts w:hint="eastAsia" w:ascii="宋体" w:hAnsi="宋体"/>
                <w:b/>
                <w:sz w:val="24"/>
                <w:szCs w:val="24"/>
              </w:rPr>
              <w:t>高</w:t>
            </w:r>
          </w:p>
          <w:p>
            <w:pPr>
              <w:jc w:val="center"/>
              <w:rPr>
                <w:rFonts w:ascii="宋体" w:hAnsi="宋体"/>
                <w:b/>
                <w:sz w:val="24"/>
                <w:szCs w:val="24"/>
              </w:rPr>
            </w:pPr>
            <w:r>
              <w:rPr>
                <w:rFonts w:hint="eastAsia" w:ascii="宋体" w:hAnsi="宋体"/>
                <w:b/>
                <w:sz w:val="24"/>
                <w:szCs w:val="24"/>
              </w:rPr>
              <w:t>级</w:t>
            </w:r>
          </w:p>
        </w:tc>
        <w:tc>
          <w:tcPr>
            <w:tcW w:w="710" w:type="dxa"/>
            <w:gridSpan w:val="2"/>
            <w:vAlign w:val="center"/>
          </w:tcPr>
          <w:p>
            <w:pPr>
              <w:jc w:val="center"/>
              <w:rPr>
                <w:rFonts w:ascii="宋体" w:hAnsi="宋体"/>
                <w:b/>
                <w:sz w:val="24"/>
                <w:szCs w:val="24"/>
              </w:rPr>
            </w:pPr>
            <w:r>
              <w:rPr>
                <w:rFonts w:hint="eastAsia" w:ascii="宋体" w:hAnsi="宋体"/>
                <w:b/>
                <w:sz w:val="24"/>
                <w:szCs w:val="24"/>
              </w:rPr>
              <w:t>中</w:t>
            </w:r>
          </w:p>
          <w:p>
            <w:pPr>
              <w:jc w:val="center"/>
              <w:rPr>
                <w:rFonts w:ascii="宋体" w:hAnsi="宋体"/>
                <w:b/>
                <w:sz w:val="24"/>
                <w:szCs w:val="24"/>
              </w:rPr>
            </w:pPr>
            <w:r>
              <w:rPr>
                <w:rFonts w:hint="eastAsia" w:ascii="宋体" w:hAnsi="宋体"/>
                <w:b/>
                <w:sz w:val="24"/>
                <w:szCs w:val="24"/>
              </w:rPr>
              <w:t>级</w:t>
            </w:r>
          </w:p>
        </w:tc>
        <w:tc>
          <w:tcPr>
            <w:tcW w:w="711" w:type="dxa"/>
            <w:gridSpan w:val="2"/>
            <w:vAlign w:val="center"/>
          </w:tcPr>
          <w:p>
            <w:pPr>
              <w:jc w:val="center"/>
              <w:rPr>
                <w:rFonts w:ascii="宋体" w:hAnsi="宋体"/>
                <w:b/>
                <w:sz w:val="24"/>
                <w:szCs w:val="24"/>
              </w:rPr>
            </w:pPr>
            <w:r>
              <w:rPr>
                <w:rFonts w:hint="eastAsia" w:ascii="宋体" w:hAnsi="宋体"/>
                <w:b/>
                <w:sz w:val="24"/>
                <w:szCs w:val="24"/>
              </w:rPr>
              <w:t>初</w:t>
            </w:r>
          </w:p>
          <w:p>
            <w:pPr>
              <w:jc w:val="center"/>
              <w:rPr>
                <w:rFonts w:ascii="宋体" w:hAnsi="宋体"/>
                <w:b/>
                <w:sz w:val="24"/>
                <w:szCs w:val="24"/>
              </w:rPr>
            </w:pPr>
            <w:r>
              <w:rPr>
                <w:rFonts w:hint="eastAsia" w:ascii="宋体" w:hAnsi="宋体"/>
                <w:b/>
                <w:sz w:val="24"/>
                <w:szCs w:val="24"/>
              </w:rPr>
              <w:t>级</w:t>
            </w:r>
          </w:p>
        </w:tc>
        <w:tc>
          <w:tcPr>
            <w:tcW w:w="620" w:type="dxa"/>
            <w:gridSpan w:val="2"/>
            <w:vAlign w:val="center"/>
          </w:tcPr>
          <w:p>
            <w:pPr>
              <w:jc w:val="center"/>
              <w:rPr>
                <w:rFonts w:ascii="宋体" w:hAnsi="宋体"/>
                <w:b/>
                <w:sz w:val="24"/>
                <w:szCs w:val="24"/>
              </w:rPr>
            </w:pPr>
            <w:r>
              <w:rPr>
                <w:rFonts w:hint="eastAsia" w:ascii="宋体" w:hAnsi="宋体"/>
                <w:b/>
                <w:sz w:val="24"/>
                <w:szCs w:val="24"/>
              </w:rPr>
              <w:t>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3" w:type="dxa"/>
            <w:left w:w="113" w:type="dxa"/>
            <w:bottom w:w="113" w:type="dxa"/>
            <w:right w:w="113" w:type="dxa"/>
          </w:tblCellMar>
        </w:tblPrEx>
        <w:trPr>
          <w:cantSplit/>
          <w:trHeight w:val="181" w:hRule="atLeast"/>
          <w:jc w:val="center"/>
        </w:trPr>
        <w:tc>
          <w:tcPr>
            <w:tcW w:w="727" w:type="dxa"/>
            <w:vMerge w:val="restart"/>
            <w:shd w:val="clear" w:color="auto" w:fill="auto"/>
            <w:vAlign w:val="center"/>
          </w:tcPr>
          <w:p>
            <w:pPr>
              <w:jc w:val="center"/>
              <w:rPr>
                <w:rFonts w:ascii="宋体" w:hAnsi="宋体"/>
                <w:b/>
                <w:sz w:val="24"/>
                <w:szCs w:val="24"/>
              </w:rPr>
            </w:pPr>
            <w:r>
              <w:rPr>
                <w:rFonts w:hint="eastAsia" w:ascii="宋体" w:hAnsi="宋体"/>
                <w:b/>
                <w:sz w:val="24"/>
                <w:szCs w:val="24"/>
              </w:rPr>
              <w:t>专任教师</w:t>
            </w:r>
          </w:p>
        </w:tc>
        <w:tc>
          <w:tcPr>
            <w:tcW w:w="1042" w:type="dxa"/>
            <w:gridSpan w:val="3"/>
            <w:vAlign w:val="center"/>
          </w:tcPr>
          <w:p>
            <w:pPr>
              <w:jc w:val="center"/>
              <w:rPr>
                <w:rFonts w:ascii="宋体" w:hAnsi="宋体"/>
                <w:b/>
                <w:sz w:val="24"/>
                <w:szCs w:val="24"/>
              </w:rPr>
            </w:pPr>
            <w:r>
              <w:rPr>
                <w:rFonts w:hint="eastAsia" w:ascii="宋体" w:hAnsi="宋体"/>
                <w:b/>
                <w:sz w:val="24"/>
                <w:szCs w:val="24"/>
              </w:rPr>
              <w:t>公共课</w:t>
            </w:r>
          </w:p>
        </w:tc>
        <w:tc>
          <w:tcPr>
            <w:tcW w:w="678" w:type="dxa"/>
            <w:vAlign w:val="center"/>
          </w:tcPr>
          <w:p>
            <w:pPr>
              <w:jc w:val="center"/>
              <w:rPr>
                <w:rFonts w:asciiTheme="minorEastAsia" w:hAnsiTheme="minorEastAsia" w:eastAsiaTheme="minorEastAsia"/>
              </w:rPr>
            </w:pPr>
            <w:r>
              <w:rPr>
                <w:rFonts w:hint="eastAsia" w:asciiTheme="minorEastAsia" w:hAnsiTheme="minorEastAsia" w:eastAsiaTheme="minorEastAsia"/>
              </w:rPr>
              <w:t>58</w:t>
            </w:r>
          </w:p>
        </w:tc>
        <w:tc>
          <w:tcPr>
            <w:tcW w:w="964" w:type="dxa"/>
            <w:gridSpan w:val="2"/>
            <w:vAlign w:val="center"/>
          </w:tcPr>
          <w:p>
            <w:pPr>
              <w:jc w:val="center"/>
              <w:rPr>
                <w:rFonts w:asciiTheme="minorEastAsia" w:hAnsiTheme="minorEastAsia" w:eastAsiaTheme="minorEastAsia"/>
              </w:rPr>
            </w:pP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54</w:t>
            </w: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4</w:t>
            </w:r>
          </w:p>
        </w:tc>
        <w:tc>
          <w:tcPr>
            <w:tcW w:w="710" w:type="dxa"/>
            <w:gridSpan w:val="2"/>
            <w:vAlign w:val="center"/>
          </w:tcPr>
          <w:p>
            <w:pPr>
              <w:jc w:val="center"/>
              <w:rPr>
                <w:rFonts w:asciiTheme="minorEastAsia" w:hAnsiTheme="minorEastAsia" w:eastAsiaTheme="minorEastAsia"/>
              </w:rPr>
            </w:pPr>
          </w:p>
        </w:tc>
        <w:tc>
          <w:tcPr>
            <w:tcW w:w="710" w:type="dxa"/>
            <w:vAlign w:val="center"/>
          </w:tcPr>
          <w:p>
            <w:pPr>
              <w:jc w:val="center"/>
              <w:rPr>
                <w:rFonts w:asciiTheme="minorEastAsia" w:hAnsiTheme="minorEastAsia" w:eastAsiaTheme="minorEastAsia"/>
              </w:rPr>
            </w:pP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23</w:t>
            </w: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28</w:t>
            </w:r>
          </w:p>
        </w:tc>
        <w:tc>
          <w:tcPr>
            <w:tcW w:w="711"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7</w:t>
            </w:r>
          </w:p>
        </w:tc>
        <w:tc>
          <w:tcPr>
            <w:tcW w:w="620" w:type="dxa"/>
            <w:gridSpan w:val="2"/>
            <w:vAlign w:val="center"/>
          </w:tcPr>
          <w:p>
            <w:pPr>
              <w:jc w:val="center"/>
              <w:rPr>
                <w:rFonts w:asciiTheme="minorEastAsia" w:hAnsiTheme="minorEastAsia" w:eastAsiaTheme="minorEastAsia"/>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3" w:type="dxa"/>
            <w:left w:w="113" w:type="dxa"/>
            <w:bottom w:w="113" w:type="dxa"/>
            <w:right w:w="113" w:type="dxa"/>
          </w:tblCellMar>
        </w:tblPrEx>
        <w:trPr>
          <w:cantSplit/>
          <w:trHeight w:val="113" w:hRule="atLeast"/>
          <w:jc w:val="center"/>
        </w:trPr>
        <w:tc>
          <w:tcPr>
            <w:tcW w:w="727" w:type="dxa"/>
            <w:vMerge w:val="continue"/>
            <w:shd w:val="clear" w:color="auto" w:fill="auto"/>
            <w:vAlign w:val="center"/>
          </w:tcPr>
          <w:p>
            <w:pPr>
              <w:jc w:val="center"/>
              <w:rPr>
                <w:rFonts w:ascii="宋体" w:hAnsi="宋体"/>
                <w:b/>
                <w:sz w:val="24"/>
                <w:szCs w:val="24"/>
              </w:rPr>
            </w:pPr>
          </w:p>
        </w:tc>
        <w:tc>
          <w:tcPr>
            <w:tcW w:w="1042" w:type="dxa"/>
            <w:gridSpan w:val="3"/>
            <w:vAlign w:val="center"/>
          </w:tcPr>
          <w:p>
            <w:pPr>
              <w:jc w:val="center"/>
              <w:rPr>
                <w:rFonts w:ascii="宋体" w:hAnsi="宋体"/>
                <w:b/>
                <w:sz w:val="24"/>
                <w:szCs w:val="24"/>
              </w:rPr>
            </w:pPr>
            <w:r>
              <w:rPr>
                <w:rFonts w:hint="eastAsia" w:ascii="宋体" w:hAnsi="宋体"/>
                <w:b/>
                <w:sz w:val="24"/>
                <w:szCs w:val="24"/>
              </w:rPr>
              <w:t>专业课</w:t>
            </w:r>
          </w:p>
        </w:tc>
        <w:tc>
          <w:tcPr>
            <w:tcW w:w="678" w:type="dxa"/>
            <w:vAlign w:val="center"/>
          </w:tcPr>
          <w:p>
            <w:pPr>
              <w:jc w:val="center"/>
              <w:rPr>
                <w:rFonts w:asciiTheme="minorEastAsia" w:hAnsiTheme="minorEastAsia" w:eastAsiaTheme="minorEastAsia"/>
              </w:rPr>
            </w:pPr>
            <w:r>
              <w:rPr>
                <w:rFonts w:hint="eastAsia" w:asciiTheme="minorEastAsia" w:hAnsiTheme="minorEastAsia" w:eastAsiaTheme="minorEastAsia"/>
              </w:rPr>
              <w:t>73</w:t>
            </w:r>
          </w:p>
        </w:tc>
        <w:tc>
          <w:tcPr>
            <w:tcW w:w="964" w:type="dxa"/>
            <w:gridSpan w:val="2"/>
            <w:vAlign w:val="center"/>
          </w:tcPr>
          <w:p>
            <w:pPr>
              <w:jc w:val="center"/>
              <w:rPr>
                <w:rFonts w:asciiTheme="minorEastAsia" w:hAnsiTheme="minorEastAsia" w:eastAsiaTheme="minorEastAsia"/>
              </w:rPr>
            </w:pP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67</w:t>
            </w: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710" w:type="dxa"/>
            <w:gridSpan w:val="2"/>
            <w:vAlign w:val="center"/>
          </w:tcPr>
          <w:p>
            <w:pPr>
              <w:jc w:val="center"/>
              <w:rPr>
                <w:rFonts w:asciiTheme="minorEastAsia" w:hAnsiTheme="minorEastAsia" w:eastAsiaTheme="minorEastAsia"/>
              </w:rPr>
            </w:pPr>
          </w:p>
        </w:tc>
        <w:tc>
          <w:tcPr>
            <w:tcW w:w="710" w:type="dxa"/>
            <w:vAlign w:val="center"/>
          </w:tcPr>
          <w:p>
            <w:pPr>
              <w:jc w:val="center"/>
              <w:rPr>
                <w:rFonts w:asciiTheme="minorEastAsia" w:hAnsiTheme="minorEastAsia" w:eastAsiaTheme="minorEastAsia"/>
              </w:rPr>
            </w:pP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18</w:t>
            </w: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41</w:t>
            </w:r>
          </w:p>
        </w:tc>
        <w:tc>
          <w:tcPr>
            <w:tcW w:w="711"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14</w:t>
            </w:r>
          </w:p>
        </w:tc>
        <w:tc>
          <w:tcPr>
            <w:tcW w:w="620" w:type="dxa"/>
            <w:gridSpan w:val="2"/>
            <w:vAlign w:val="center"/>
          </w:tcPr>
          <w:p>
            <w:pPr>
              <w:jc w:val="center"/>
              <w:rPr>
                <w:rFonts w:asciiTheme="minorEastAsia" w:hAnsiTheme="minorEastAsia" w:eastAsiaTheme="minorEastAsia"/>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3" w:type="dxa"/>
            <w:left w:w="113" w:type="dxa"/>
            <w:bottom w:w="113" w:type="dxa"/>
            <w:right w:w="113" w:type="dxa"/>
          </w:tblCellMar>
        </w:tblPrEx>
        <w:trPr>
          <w:cantSplit/>
          <w:trHeight w:val="113" w:hRule="atLeast"/>
          <w:jc w:val="center"/>
        </w:trPr>
        <w:tc>
          <w:tcPr>
            <w:tcW w:w="727" w:type="dxa"/>
            <w:vMerge w:val="continue"/>
            <w:shd w:val="clear" w:color="auto" w:fill="auto"/>
            <w:vAlign w:val="center"/>
          </w:tcPr>
          <w:p>
            <w:pPr>
              <w:jc w:val="center"/>
              <w:rPr>
                <w:rFonts w:ascii="宋体" w:hAnsi="宋体"/>
                <w:b/>
                <w:sz w:val="24"/>
                <w:szCs w:val="24"/>
              </w:rPr>
            </w:pPr>
          </w:p>
        </w:tc>
        <w:tc>
          <w:tcPr>
            <w:tcW w:w="1042" w:type="dxa"/>
            <w:gridSpan w:val="3"/>
            <w:vAlign w:val="center"/>
          </w:tcPr>
          <w:p>
            <w:pPr>
              <w:jc w:val="center"/>
              <w:rPr>
                <w:rFonts w:ascii="宋体" w:hAnsi="宋体"/>
                <w:b/>
                <w:sz w:val="24"/>
                <w:szCs w:val="24"/>
              </w:rPr>
            </w:pPr>
            <w:r>
              <w:rPr>
                <w:rFonts w:hint="eastAsia" w:ascii="宋体" w:hAnsi="宋体"/>
                <w:b/>
                <w:sz w:val="24"/>
                <w:szCs w:val="24"/>
              </w:rPr>
              <w:t>合  计</w:t>
            </w:r>
          </w:p>
        </w:tc>
        <w:tc>
          <w:tcPr>
            <w:tcW w:w="678" w:type="dxa"/>
            <w:vAlign w:val="center"/>
          </w:tcPr>
          <w:p>
            <w:pPr>
              <w:jc w:val="center"/>
              <w:rPr>
                <w:rFonts w:asciiTheme="minorEastAsia" w:hAnsiTheme="minorEastAsia" w:eastAsiaTheme="minorEastAsia"/>
              </w:rPr>
            </w:pPr>
            <w:r>
              <w:rPr>
                <w:rFonts w:hint="eastAsia" w:asciiTheme="minorEastAsia" w:hAnsiTheme="minorEastAsia" w:eastAsiaTheme="minorEastAsia"/>
              </w:rPr>
              <w:t>131</w:t>
            </w:r>
          </w:p>
        </w:tc>
        <w:tc>
          <w:tcPr>
            <w:tcW w:w="964" w:type="dxa"/>
            <w:gridSpan w:val="2"/>
            <w:vAlign w:val="center"/>
          </w:tcPr>
          <w:p>
            <w:pPr>
              <w:jc w:val="center"/>
              <w:rPr>
                <w:rFonts w:asciiTheme="minorEastAsia" w:hAnsiTheme="minorEastAsia" w:eastAsiaTheme="minorEastAsia"/>
              </w:rPr>
            </w:pP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121</w:t>
            </w: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10</w:t>
            </w:r>
          </w:p>
        </w:tc>
        <w:tc>
          <w:tcPr>
            <w:tcW w:w="710" w:type="dxa"/>
            <w:gridSpan w:val="2"/>
            <w:vAlign w:val="center"/>
          </w:tcPr>
          <w:p>
            <w:pPr>
              <w:jc w:val="center"/>
              <w:rPr>
                <w:rFonts w:asciiTheme="minorEastAsia" w:hAnsiTheme="minorEastAsia" w:eastAsiaTheme="minorEastAsia"/>
              </w:rPr>
            </w:pPr>
          </w:p>
        </w:tc>
        <w:tc>
          <w:tcPr>
            <w:tcW w:w="710" w:type="dxa"/>
            <w:vAlign w:val="center"/>
          </w:tcPr>
          <w:p>
            <w:pPr>
              <w:jc w:val="center"/>
              <w:rPr>
                <w:rFonts w:asciiTheme="minorEastAsia" w:hAnsiTheme="minorEastAsia" w:eastAsiaTheme="minorEastAsia"/>
              </w:rPr>
            </w:pP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41</w:t>
            </w: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69</w:t>
            </w:r>
          </w:p>
        </w:tc>
        <w:tc>
          <w:tcPr>
            <w:tcW w:w="711"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21</w:t>
            </w:r>
          </w:p>
        </w:tc>
        <w:tc>
          <w:tcPr>
            <w:tcW w:w="620" w:type="dxa"/>
            <w:gridSpan w:val="2"/>
            <w:vAlign w:val="center"/>
          </w:tcPr>
          <w:p>
            <w:pPr>
              <w:jc w:val="center"/>
              <w:rPr>
                <w:rFonts w:asciiTheme="minorEastAsia" w:hAnsiTheme="minorEastAsia" w:eastAsiaTheme="minorEastAsia"/>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3" w:type="dxa"/>
            <w:left w:w="113" w:type="dxa"/>
            <w:bottom w:w="113" w:type="dxa"/>
            <w:right w:w="113" w:type="dxa"/>
          </w:tblCellMar>
        </w:tblPrEx>
        <w:trPr>
          <w:cantSplit/>
          <w:trHeight w:val="20" w:hRule="atLeast"/>
          <w:jc w:val="center"/>
        </w:trPr>
        <w:tc>
          <w:tcPr>
            <w:tcW w:w="1769" w:type="dxa"/>
            <w:gridSpan w:val="4"/>
            <w:shd w:val="clear" w:color="auto" w:fill="auto"/>
            <w:vAlign w:val="center"/>
          </w:tcPr>
          <w:p>
            <w:pPr>
              <w:jc w:val="center"/>
              <w:rPr>
                <w:rFonts w:ascii="宋体" w:hAnsi="宋体"/>
                <w:b/>
                <w:sz w:val="24"/>
                <w:szCs w:val="24"/>
              </w:rPr>
            </w:pPr>
            <w:r>
              <w:rPr>
                <w:rFonts w:hint="eastAsia" w:ascii="宋体" w:hAnsi="宋体"/>
                <w:b/>
                <w:sz w:val="24"/>
                <w:szCs w:val="24"/>
              </w:rPr>
              <w:t>兼职教师</w:t>
            </w:r>
          </w:p>
        </w:tc>
        <w:tc>
          <w:tcPr>
            <w:tcW w:w="678" w:type="dxa"/>
            <w:vAlign w:val="center"/>
          </w:tcPr>
          <w:p>
            <w:pPr>
              <w:jc w:val="center"/>
              <w:rPr>
                <w:rFonts w:asciiTheme="minorEastAsia" w:hAnsiTheme="minorEastAsia" w:eastAsiaTheme="minorEastAsia"/>
              </w:rPr>
            </w:pPr>
            <w:r>
              <w:rPr>
                <w:rFonts w:hint="eastAsia" w:asciiTheme="minorEastAsia" w:hAnsiTheme="minorEastAsia" w:eastAsiaTheme="minorEastAsia"/>
              </w:rPr>
              <w:t>9</w:t>
            </w:r>
          </w:p>
        </w:tc>
        <w:tc>
          <w:tcPr>
            <w:tcW w:w="964" w:type="dxa"/>
            <w:gridSpan w:val="2"/>
            <w:vAlign w:val="center"/>
          </w:tcPr>
          <w:p>
            <w:pPr>
              <w:jc w:val="center"/>
              <w:rPr>
                <w:rFonts w:asciiTheme="minorEastAsia" w:hAnsiTheme="minorEastAsia" w:eastAsiaTheme="minorEastAsia"/>
              </w:rPr>
            </w:pP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1</w:t>
            </w:r>
          </w:p>
        </w:tc>
        <w:tc>
          <w:tcPr>
            <w:tcW w:w="710"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710" w:type="dxa"/>
            <w:gridSpan w:val="2"/>
            <w:vAlign w:val="center"/>
          </w:tcPr>
          <w:p>
            <w:pPr>
              <w:jc w:val="center"/>
              <w:rPr>
                <w:rFonts w:asciiTheme="minorEastAsia" w:hAnsiTheme="minorEastAsia" w:eastAsiaTheme="minorEastAsia"/>
              </w:rPr>
            </w:pPr>
          </w:p>
        </w:tc>
        <w:tc>
          <w:tcPr>
            <w:tcW w:w="710" w:type="dxa"/>
            <w:vAlign w:val="center"/>
          </w:tcPr>
          <w:p>
            <w:pPr>
              <w:jc w:val="center"/>
              <w:rPr>
                <w:rFonts w:asciiTheme="minorEastAsia" w:hAnsiTheme="minorEastAsia" w:eastAsiaTheme="minorEastAsia"/>
              </w:rPr>
            </w:pPr>
            <w:r>
              <w:rPr>
                <w:rFonts w:hint="eastAsia" w:asciiTheme="minorEastAsia" w:hAnsiTheme="minorEastAsia" w:eastAsiaTheme="minorEastAsia"/>
              </w:rPr>
              <w:t>2</w:t>
            </w:r>
          </w:p>
        </w:tc>
        <w:tc>
          <w:tcPr>
            <w:tcW w:w="710" w:type="dxa"/>
            <w:gridSpan w:val="2"/>
            <w:vAlign w:val="center"/>
          </w:tcPr>
          <w:p>
            <w:pPr>
              <w:jc w:val="center"/>
              <w:rPr>
                <w:rFonts w:asciiTheme="minorEastAsia" w:hAnsiTheme="minorEastAsia" w:eastAsiaTheme="minorEastAsia"/>
              </w:rPr>
            </w:pPr>
          </w:p>
        </w:tc>
        <w:tc>
          <w:tcPr>
            <w:tcW w:w="710" w:type="dxa"/>
            <w:gridSpan w:val="2"/>
            <w:vAlign w:val="center"/>
          </w:tcPr>
          <w:p>
            <w:pPr>
              <w:jc w:val="center"/>
              <w:rPr>
                <w:rFonts w:asciiTheme="minorEastAsia" w:hAnsiTheme="minorEastAsia" w:eastAsiaTheme="minorEastAsia"/>
              </w:rPr>
            </w:pPr>
          </w:p>
        </w:tc>
        <w:tc>
          <w:tcPr>
            <w:tcW w:w="711" w:type="dxa"/>
            <w:gridSpan w:val="2"/>
            <w:vAlign w:val="center"/>
          </w:tcPr>
          <w:p>
            <w:pPr>
              <w:jc w:val="center"/>
              <w:rPr>
                <w:rFonts w:asciiTheme="minorEastAsia" w:hAnsiTheme="minorEastAsia" w:eastAsiaTheme="minorEastAsia"/>
              </w:rPr>
            </w:pPr>
          </w:p>
        </w:tc>
        <w:tc>
          <w:tcPr>
            <w:tcW w:w="620" w:type="dxa"/>
            <w:gridSpan w:val="2"/>
            <w:vAlign w:val="center"/>
          </w:tcPr>
          <w:p>
            <w:pPr>
              <w:jc w:val="center"/>
              <w:rPr>
                <w:rFonts w:asciiTheme="minorEastAsia" w:hAnsiTheme="minorEastAsia" w:eastAsiaTheme="minorEastAsia"/>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3" w:type="dxa"/>
            <w:left w:w="113" w:type="dxa"/>
            <w:bottom w:w="113" w:type="dxa"/>
            <w:right w:w="113" w:type="dxa"/>
          </w:tblCellMar>
        </w:tblPrEx>
        <w:trPr>
          <w:gridAfter w:val="1"/>
          <w:wAfter w:w="8" w:type="dxa"/>
          <w:cantSplit/>
          <w:trHeight w:val="438" w:hRule="atLeast"/>
          <w:jc w:val="center"/>
        </w:trPr>
        <w:tc>
          <w:tcPr>
            <w:tcW w:w="874" w:type="dxa"/>
            <w:gridSpan w:val="2"/>
            <w:vAlign w:val="center"/>
          </w:tcPr>
          <w:p>
            <w:pPr>
              <w:jc w:val="center"/>
              <w:rPr>
                <w:rFonts w:ascii="宋体" w:hAnsi="宋体"/>
                <w:b/>
                <w:sz w:val="24"/>
                <w:szCs w:val="24"/>
              </w:rPr>
            </w:pPr>
            <w:r>
              <w:br w:type="page"/>
            </w:r>
            <w:r>
              <w:rPr>
                <w:rFonts w:hint="eastAsia" w:ascii="宋体" w:hAnsi="宋体"/>
                <w:b/>
                <w:sz w:val="24"/>
                <w:szCs w:val="24"/>
              </w:rPr>
              <w:t>生师比</w:t>
            </w:r>
          </w:p>
        </w:tc>
        <w:tc>
          <w:tcPr>
            <w:tcW w:w="875" w:type="dxa"/>
            <w:vAlign w:val="center"/>
          </w:tcPr>
          <w:p>
            <w:pPr>
              <w:jc w:val="center"/>
              <w:rPr>
                <w:rFonts w:asciiTheme="majorEastAsia" w:hAnsiTheme="majorEastAsia" w:eastAsiaTheme="majorEastAsia"/>
              </w:rPr>
            </w:pPr>
            <w:r>
              <w:rPr>
                <w:rFonts w:hint="eastAsia" w:asciiTheme="majorEastAsia" w:hAnsiTheme="majorEastAsia" w:eastAsiaTheme="majorEastAsia"/>
              </w:rPr>
              <w:t>17.1:1</w:t>
            </w:r>
          </w:p>
        </w:tc>
        <w:tc>
          <w:tcPr>
            <w:tcW w:w="1125" w:type="dxa"/>
            <w:gridSpan w:val="3"/>
            <w:vAlign w:val="center"/>
          </w:tcPr>
          <w:p>
            <w:pPr>
              <w:jc w:val="center"/>
              <w:rPr>
                <w:rFonts w:ascii="宋体" w:hAnsi="宋体"/>
                <w:b/>
                <w:sz w:val="24"/>
                <w:szCs w:val="24"/>
              </w:rPr>
            </w:pPr>
            <w:r>
              <w:rPr>
                <w:rFonts w:hint="eastAsia" w:ascii="宋体" w:hAnsi="宋体"/>
                <w:b/>
                <w:sz w:val="24"/>
                <w:szCs w:val="24"/>
              </w:rPr>
              <w:t>专业课教师比例</w:t>
            </w:r>
          </w:p>
        </w:tc>
        <w:tc>
          <w:tcPr>
            <w:tcW w:w="871"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55%</w:t>
            </w:r>
          </w:p>
        </w:tc>
        <w:tc>
          <w:tcPr>
            <w:tcW w:w="875" w:type="dxa"/>
            <w:gridSpan w:val="2"/>
            <w:vAlign w:val="center"/>
          </w:tcPr>
          <w:p>
            <w:pPr>
              <w:jc w:val="center"/>
              <w:rPr>
                <w:rFonts w:ascii="宋体" w:hAnsi="宋体"/>
                <w:b/>
                <w:sz w:val="24"/>
                <w:szCs w:val="24"/>
              </w:rPr>
            </w:pPr>
            <w:r>
              <w:rPr>
                <w:rFonts w:hint="eastAsia" w:ascii="宋体" w:hAnsi="宋体"/>
                <w:b/>
                <w:sz w:val="24"/>
                <w:szCs w:val="24"/>
              </w:rPr>
              <w:t>企业兼职比例</w:t>
            </w:r>
          </w:p>
        </w:tc>
        <w:tc>
          <w:tcPr>
            <w:tcW w:w="874" w:type="dxa"/>
            <w:gridSpan w:val="2"/>
            <w:vAlign w:val="center"/>
          </w:tcPr>
          <w:p>
            <w:pPr>
              <w:jc w:val="center"/>
              <w:rPr>
                <w:rFonts w:asciiTheme="majorEastAsia" w:hAnsiTheme="majorEastAsia" w:eastAsiaTheme="majorEastAsia"/>
              </w:rPr>
            </w:pPr>
            <w:r>
              <w:rPr>
                <w:rFonts w:hint="eastAsia" w:asciiTheme="majorEastAsia" w:hAnsiTheme="majorEastAsia" w:eastAsiaTheme="majorEastAsia"/>
              </w:rPr>
              <w:t>11.9%</w:t>
            </w:r>
          </w:p>
        </w:tc>
        <w:tc>
          <w:tcPr>
            <w:tcW w:w="875" w:type="dxa"/>
            <w:gridSpan w:val="3"/>
            <w:vAlign w:val="center"/>
          </w:tcPr>
          <w:p>
            <w:pPr>
              <w:jc w:val="center"/>
              <w:rPr>
                <w:rFonts w:ascii="宋体" w:hAnsi="宋体"/>
                <w:b/>
                <w:sz w:val="24"/>
                <w:szCs w:val="24"/>
              </w:rPr>
            </w:pPr>
            <w:r>
              <w:rPr>
                <w:rFonts w:hint="eastAsia" w:ascii="宋体" w:hAnsi="宋体"/>
                <w:b/>
                <w:sz w:val="24"/>
                <w:szCs w:val="24"/>
              </w:rPr>
              <w:t>双师型</w:t>
            </w:r>
          </w:p>
          <w:p>
            <w:pPr>
              <w:jc w:val="center"/>
              <w:rPr>
                <w:rFonts w:ascii="仿宋_GB2312" w:eastAsia="仿宋_GB2312"/>
              </w:rPr>
            </w:pPr>
            <w:r>
              <w:rPr>
                <w:rFonts w:hint="eastAsia" w:ascii="宋体" w:hAnsi="宋体"/>
                <w:b/>
                <w:sz w:val="24"/>
                <w:szCs w:val="24"/>
              </w:rPr>
              <w:t>人数</w:t>
            </w:r>
          </w:p>
        </w:tc>
        <w:tc>
          <w:tcPr>
            <w:tcW w:w="875"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52</w:t>
            </w:r>
          </w:p>
        </w:tc>
        <w:tc>
          <w:tcPr>
            <w:tcW w:w="875" w:type="dxa"/>
            <w:gridSpan w:val="2"/>
            <w:vAlign w:val="center"/>
          </w:tcPr>
          <w:p>
            <w:pPr>
              <w:jc w:val="center"/>
              <w:rPr>
                <w:rFonts w:ascii="宋体" w:hAnsi="宋体"/>
                <w:b/>
                <w:sz w:val="24"/>
                <w:szCs w:val="24"/>
              </w:rPr>
            </w:pPr>
            <w:r>
              <w:rPr>
                <w:rFonts w:hint="eastAsia" w:ascii="宋体" w:hAnsi="宋体"/>
                <w:b/>
                <w:sz w:val="24"/>
                <w:szCs w:val="24"/>
              </w:rPr>
              <w:t>双师型比例</w:t>
            </w:r>
          </w:p>
        </w:tc>
        <w:tc>
          <w:tcPr>
            <w:tcW w:w="875" w:type="dxa"/>
            <w:gridSpan w:val="2"/>
            <w:vAlign w:val="center"/>
          </w:tcPr>
          <w:p>
            <w:pPr>
              <w:jc w:val="center"/>
              <w:rPr>
                <w:rFonts w:asciiTheme="minorEastAsia" w:hAnsiTheme="minorEastAsia" w:eastAsiaTheme="minorEastAsia"/>
              </w:rPr>
            </w:pPr>
            <w:r>
              <w:rPr>
                <w:rFonts w:hint="eastAsia" w:asciiTheme="minorEastAsia" w:hAnsiTheme="minorEastAsia" w:eastAsiaTheme="minorEastAsia"/>
              </w:rPr>
              <w:t>71.2%</w:t>
            </w:r>
          </w:p>
        </w:tc>
      </w:tr>
    </w:tbl>
    <w:p>
      <w:pPr>
        <w:pStyle w:val="3"/>
        <w:spacing w:before="156" w:beforeLines="50" w:after="0"/>
        <w:rPr>
          <w:rFonts w:ascii="黑体" w:hAnsi="黑体" w:eastAsia="黑体"/>
          <w:sz w:val="28"/>
          <w:szCs w:val="28"/>
        </w:rPr>
      </w:pPr>
      <w:bookmarkStart w:id="8" w:name="_Toc501482405"/>
      <w:bookmarkStart w:id="9" w:name="_Toc29894692"/>
      <w:r>
        <w:rPr>
          <w:rFonts w:hint="eastAsia" w:ascii="黑体" w:hAnsi="黑体" w:eastAsia="黑体"/>
          <w:sz w:val="28"/>
          <w:szCs w:val="28"/>
        </w:rPr>
        <w:t>（四）设备设施</w:t>
      </w:r>
      <w:bookmarkEnd w:id="8"/>
      <w:bookmarkEnd w:id="9"/>
    </w:p>
    <w:p>
      <w:pPr>
        <w:spacing w:before="156" w:beforeLines="50" w:line="360" w:lineRule="auto"/>
        <w:ind w:firstLine="562" w:firstLineChars="200"/>
        <w:rPr>
          <w:rFonts w:asciiTheme="minorEastAsia" w:hAnsiTheme="minorEastAsia" w:eastAsiaTheme="minorEastAsia"/>
          <w:b/>
          <w:sz w:val="28"/>
          <w:szCs w:val="28"/>
        </w:rPr>
      </w:pPr>
      <w:r>
        <w:rPr>
          <w:rFonts w:asciiTheme="minorEastAsia" w:hAnsiTheme="minorEastAsia" w:eastAsiaTheme="minorEastAsia"/>
          <w:b/>
          <w:sz w:val="28"/>
          <w:szCs w:val="28"/>
        </w:rPr>
        <w:t>1</w:t>
      </w:r>
      <w:r>
        <w:rPr>
          <w:rFonts w:hint="eastAsia" w:asciiTheme="minorEastAsia" w:hAnsiTheme="minorEastAsia" w:eastAsiaTheme="minorEastAsia"/>
          <w:b/>
          <w:sz w:val="28"/>
          <w:szCs w:val="28"/>
        </w:rPr>
        <w:t>.教学仪器设备值</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共有六个专业部，11个专业，所有专业均拥有校内实训基地，9个专业拥有校外实训基地，场地面积、设备设施、数量和种类配备等均能满足教学、实训、培训的需要。学校共有83个实训室，能同时提供2914个工位，教学仪器设备总值2123万元。生均教学仪器设备资产值0.99万元。</w:t>
      </w:r>
    </w:p>
    <w:p>
      <w:pPr>
        <w:spacing w:before="156" w:beforeLines="50" w:line="360" w:lineRule="auto"/>
        <w:ind w:firstLine="562" w:firstLineChars="200"/>
        <w:rPr>
          <w:rFonts w:asciiTheme="minorEastAsia" w:hAnsiTheme="minorEastAsia" w:eastAsiaTheme="minorEastAsia"/>
          <w:b/>
          <w:sz w:val="28"/>
          <w:szCs w:val="28"/>
        </w:rPr>
      </w:pPr>
      <w:r>
        <w:rPr>
          <w:rFonts w:asciiTheme="minorEastAsia" w:hAnsiTheme="minorEastAsia" w:eastAsiaTheme="minorEastAsia"/>
          <w:b/>
          <w:sz w:val="28"/>
          <w:szCs w:val="28"/>
        </w:rPr>
        <w:t>2</w:t>
      </w:r>
      <w:r>
        <w:rPr>
          <w:rFonts w:hint="eastAsia" w:asciiTheme="minorEastAsia" w:hAnsiTheme="minorEastAsia" w:eastAsiaTheme="minorEastAsia"/>
          <w:b/>
          <w:sz w:val="28"/>
          <w:szCs w:val="28"/>
        </w:rPr>
        <w:t>.实训条件</w:t>
      </w:r>
    </w:p>
    <w:p>
      <w:pPr>
        <w:spacing w:before="156" w:beforeLines="50" w:line="360" w:lineRule="auto"/>
        <w:ind w:firstLine="480" w:firstLineChars="200"/>
        <w:rPr>
          <w:sz w:val="28"/>
          <w:szCs w:val="28"/>
        </w:rPr>
      </w:pPr>
      <w:r>
        <w:rPr>
          <w:rFonts w:hint="eastAsia" w:asciiTheme="minorEastAsia" w:hAnsiTheme="minorEastAsia" w:eastAsiaTheme="minorEastAsia"/>
          <w:sz w:val="24"/>
          <w:szCs w:val="24"/>
        </w:rPr>
        <w:t>学校实训基地建设规范，工位足，能满足学生实习实训要求。截止</w:t>
      </w:r>
      <w:r>
        <w:rPr>
          <w:rFonts w:asciiTheme="minorEastAsia" w:hAnsiTheme="minorEastAsia" w:eastAsiaTheme="minorEastAsia"/>
          <w:sz w:val="24"/>
          <w:szCs w:val="24"/>
        </w:rPr>
        <w:t>201</w:t>
      </w:r>
      <w:r>
        <w:rPr>
          <w:rFonts w:hint="eastAsia" w:asciiTheme="minorEastAsia" w:hAnsiTheme="minorEastAsia" w:eastAsiaTheme="minorEastAsia"/>
          <w:sz w:val="24"/>
          <w:szCs w:val="24"/>
        </w:rPr>
        <w:t>9年</w:t>
      </w:r>
      <w:r>
        <w:rPr>
          <w:rFonts w:asciiTheme="minorEastAsia" w:hAnsiTheme="minorEastAsia" w:eastAsiaTheme="minorEastAsia"/>
          <w:sz w:val="24"/>
          <w:szCs w:val="24"/>
        </w:rPr>
        <w:t>8</w:t>
      </w:r>
      <w:r>
        <w:rPr>
          <w:rFonts w:hint="eastAsia" w:asciiTheme="minorEastAsia" w:hAnsiTheme="minorEastAsia" w:eastAsiaTheme="minorEastAsia"/>
          <w:sz w:val="24"/>
          <w:szCs w:val="24"/>
        </w:rPr>
        <w:t>月</w:t>
      </w:r>
      <w:r>
        <w:rPr>
          <w:rFonts w:asciiTheme="minorEastAsia" w:hAnsiTheme="minorEastAsia" w:eastAsiaTheme="minorEastAsia"/>
          <w:sz w:val="24"/>
          <w:szCs w:val="24"/>
        </w:rPr>
        <w:t>30</w:t>
      </w:r>
      <w:r>
        <w:rPr>
          <w:rFonts w:hint="eastAsia" w:asciiTheme="minorEastAsia" w:hAnsiTheme="minorEastAsia" w:eastAsiaTheme="minorEastAsia"/>
          <w:sz w:val="24"/>
          <w:szCs w:val="24"/>
        </w:rPr>
        <w:t>日，校内实训基地11个，校外实训基地10个。</w:t>
      </w:r>
      <w:r>
        <w:rPr>
          <w:rFonts w:asciiTheme="minorEastAsia" w:hAnsiTheme="minorEastAsia" w:eastAsiaTheme="minorEastAsia"/>
          <w:sz w:val="24"/>
          <w:szCs w:val="24"/>
        </w:rPr>
        <w:t>201</w:t>
      </w:r>
      <w:r>
        <w:rPr>
          <w:rFonts w:hint="eastAsia" w:asciiTheme="minorEastAsia" w:hAnsiTheme="minorEastAsia" w:eastAsiaTheme="minorEastAsia"/>
          <w:sz w:val="24"/>
          <w:szCs w:val="24"/>
        </w:rPr>
        <w:t>8</w:t>
      </w:r>
      <w:r>
        <w:rPr>
          <w:rFonts w:asciiTheme="minorEastAsia" w:hAnsiTheme="minorEastAsia" w:eastAsiaTheme="minorEastAsia"/>
          <w:sz w:val="24"/>
          <w:szCs w:val="24"/>
        </w:rPr>
        <w:t>-201</w:t>
      </w:r>
      <w:r>
        <w:rPr>
          <w:rFonts w:hint="eastAsia" w:asciiTheme="minorEastAsia" w:hAnsiTheme="minorEastAsia" w:eastAsiaTheme="minorEastAsia"/>
          <w:sz w:val="24"/>
          <w:szCs w:val="24"/>
        </w:rPr>
        <w:t>9专业校内实训基地统计见表4，校外实训基地统计见表5。</w:t>
      </w:r>
    </w:p>
    <w:p>
      <w:pPr>
        <w:spacing w:before="156" w:beforeLines="50" w:line="360" w:lineRule="auto"/>
        <w:jc w:val="center"/>
        <w:rPr>
          <w:szCs w:val="21"/>
        </w:rPr>
      </w:pPr>
      <w:r>
        <w:rPr>
          <w:rFonts w:hint="eastAsia"/>
          <w:szCs w:val="21"/>
        </w:rPr>
        <w:t>表1-4  校内实习实训基地统计表</w:t>
      </w:r>
    </w:p>
    <w:tbl>
      <w:tblPr>
        <w:tblStyle w:val="30"/>
        <w:tblW w:w="83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3360"/>
        <w:gridCol w:w="2340"/>
        <w:gridCol w:w="11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jc w:val="center"/>
              <w:rPr>
                <w:rFonts w:ascii="宋体" w:hAnsi="宋体"/>
                <w:b/>
                <w:sz w:val="24"/>
                <w:szCs w:val="24"/>
              </w:rPr>
            </w:pPr>
            <w:r>
              <w:rPr>
                <w:rFonts w:hint="eastAsia" w:ascii="宋体" w:hAnsi="宋体"/>
                <w:b/>
                <w:sz w:val="24"/>
                <w:szCs w:val="24"/>
              </w:rPr>
              <w:t>基地名称</w:t>
            </w:r>
          </w:p>
        </w:tc>
        <w:tc>
          <w:tcPr>
            <w:tcW w:w="3360" w:type="dxa"/>
            <w:vAlign w:val="center"/>
          </w:tcPr>
          <w:p>
            <w:pPr>
              <w:jc w:val="center"/>
              <w:rPr>
                <w:rFonts w:ascii="宋体" w:hAnsi="宋体"/>
                <w:b/>
                <w:sz w:val="24"/>
                <w:szCs w:val="24"/>
              </w:rPr>
            </w:pPr>
            <w:r>
              <w:rPr>
                <w:rFonts w:hint="eastAsia" w:ascii="宋体" w:hAnsi="宋体"/>
                <w:b/>
                <w:sz w:val="24"/>
                <w:szCs w:val="24"/>
              </w:rPr>
              <w:t>2018年校内实训基地实训室及数量</w:t>
            </w:r>
          </w:p>
        </w:tc>
        <w:tc>
          <w:tcPr>
            <w:tcW w:w="2340" w:type="dxa"/>
            <w:vAlign w:val="center"/>
          </w:tcPr>
          <w:p>
            <w:pPr>
              <w:jc w:val="center"/>
              <w:rPr>
                <w:rFonts w:ascii="宋体" w:hAnsi="宋体"/>
                <w:b/>
                <w:sz w:val="24"/>
                <w:szCs w:val="24"/>
              </w:rPr>
            </w:pPr>
            <w:r>
              <w:rPr>
                <w:rFonts w:hint="eastAsia" w:ascii="宋体" w:hAnsi="宋体"/>
                <w:b/>
                <w:sz w:val="24"/>
                <w:szCs w:val="24"/>
              </w:rPr>
              <w:t>2019年新增实训室</w:t>
            </w:r>
          </w:p>
        </w:tc>
        <w:tc>
          <w:tcPr>
            <w:tcW w:w="1108" w:type="dxa"/>
            <w:vAlign w:val="center"/>
          </w:tcPr>
          <w:p>
            <w:pPr>
              <w:jc w:val="center"/>
              <w:rPr>
                <w:rFonts w:ascii="宋体" w:hAnsi="宋体"/>
                <w:b/>
                <w:sz w:val="24"/>
                <w:szCs w:val="24"/>
              </w:rPr>
            </w:pPr>
            <w:r>
              <w:rPr>
                <w:rFonts w:hint="eastAsia" w:ascii="宋体" w:hAnsi="宋体"/>
                <w:b/>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计算机应用</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计算机基础实训室12个；软件10套；交换机15台、综合布线接线间2间及工具、网线等若干</w:t>
            </w:r>
          </w:p>
        </w:tc>
        <w:tc>
          <w:tcPr>
            <w:tcW w:w="234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1.计算机机房2个。</w:t>
            </w: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电子技术应用</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1.电子电工电拖综合实验室2个；</w:t>
            </w:r>
          </w:p>
          <w:p>
            <w:pPr>
              <w:rPr>
                <w:rFonts w:asciiTheme="minorEastAsia" w:hAnsiTheme="minorEastAsia" w:eastAsiaTheme="minorEastAsia"/>
                <w:szCs w:val="21"/>
              </w:rPr>
            </w:pPr>
            <w:r>
              <w:rPr>
                <w:rFonts w:hint="eastAsia" w:asciiTheme="minorEastAsia" w:hAnsiTheme="minorEastAsia" w:eastAsiaTheme="minorEastAsia"/>
                <w:szCs w:val="21"/>
              </w:rPr>
              <w:t>2.PCB板制作工艺实训室1个；</w:t>
            </w:r>
          </w:p>
          <w:p>
            <w:pPr>
              <w:rPr>
                <w:rFonts w:asciiTheme="minorEastAsia" w:hAnsiTheme="minorEastAsia" w:eastAsiaTheme="minorEastAsia"/>
                <w:szCs w:val="21"/>
              </w:rPr>
            </w:pPr>
            <w:r>
              <w:rPr>
                <w:rFonts w:hint="eastAsia" w:asciiTheme="minorEastAsia" w:hAnsiTheme="minorEastAsia" w:eastAsiaTheme="minorEastAsia"/>
                <w:szCs w:val="21"/>
              </w:rPr>
              <w:t>3.智能家具实训设备室1个；</w:t>
            </w:r>
          </w:p>
          <w:p>
            <w:pPr>
              <w:rPr>
                <w:rFonts w:asciiTheme="minorEastAsia" w:hAnsiTheme="minorEastAsia" w:eastAsiaTheme="minorEastAsia"/>
                <w:szCs w:val="21"/>
              </w:rPr>
            </w:pPr>
            <w:r>
              <w:rPr>
                <w:rFonts w:hint="eastAsia" w:asciiTheme="minorEastAsia" w:hAnsiTheme="minorEastAsia" w:eastAsiaTheme="minorEastAsia"/>
                <w:szCs w:val="21"/>
              </w:rPr>
              <w:t xml:space="preserve">4.家电多功能实训室1个； </w:t>
            </w:r>
          </w:p>
          <w:p>
            <w:pPr>
              <w:rPr>
                <w:rFonts w:asciiTheme="minorEastAsia" w:hAnsiTheme="minorEastAsia" w:eastAsiaTheme="minorEastAsia"/>
                <w:szCs w:val="21"/>
              </w:rPr>
            </w:pPr>
            <w:r>
              <w:rPr>
                <w:rFonts w:hint="eastAsia" w:asciiTheme="minorEastAsia" w:hAnsiTheme="minorEastAsia" w:eastAsiaTheme="minorEastAsia"/>
                <w:szCs w:val="21"/>
              </w:rPr>
              <w:t>5.电器安装与智能楼宇实训室2个；</w:t>
            </w:r>
          </w:p>
          <w:p>
            <w:pPr>
              <w:rPr>
                <w:rFonts w:asciiTheme="minorEastAsia" w:hAnsiTheme="minorEastAsia" w:eastAsiaTheme="minorEastAsia"/>
                <w:szCs w:val="21"/>
              </w:rPr>
            </w:pPr>
            <w:r>
              <w:rPr>
                <w:rFonts w:hint="eastAsia" w:asciiTheme="minorEastAsia" w:hAnsiTheme="minorEastAsia" w:eastAsiaTheme="minorEastAsia"/>
                <w:szCs w:val="21"/>
              </w:rPr>
              <w:t>6.电工实训室1个；</w:t>
            </w:r>
          </w:p>
          <w:p>
            <w:pPr>
              <w:rPr>
                <w:rFonts w:asciiTheme="minorEastAsia" w:hAnsiTheme="minorEastAsia" w:eastAsiaTheme="minorEastAsia"/>
                <w:szCs w:val="21"/>
              </w:rPr>
            </w:pPr>
            <w:r>
              <w:rPr>
                <w:rFonts w:hint="eastAsia" w:asciiTheme="minorEastAsia" w:hAnsiTheme="minorEastAsia" w:eastAsiaTheme="minorEastAsia"/>
                <w:szCs w:val="21"/>
              </w:rPr>
              <w:t>7.高低压配电实训室1个；</w:t>
            </w:r>
          </w:p>
          <w:p>
            <w:pPr>
              <w:rPr>
                <w:rFonts w:asciiTheme="minorEastAsia" w:hAnsiTheme="minorEastAsia" w:eastAsiaTheme="minorEastAsia"/>
                <w:szCs w:val="21"/>
              </w:rPr>
            </w:pPr>
            <w:r>
              <w:rPr>
                <w:rFonts w:hint="eastAsia" w:asciiTheme="minorEastAsia" w:hAnsiTheme="minorEastAsia" w:eastAsiaTheme="minorEastAsia"/>
                <w:szCs w:val="21"/>
              </w:rPr>
              <w:t>8.电子技能实训室1个；</w:t>
            </w:r>
          </w:p>
          <w:p>
            <w:pPr>
              <w:rPr>
                <w:rFonts w:asciiTheme="minorEastAsia" w:hAnsiTheme="minorEastAsia" w:eastAsiaTheme="minorEastAsia"/>
                <w:szCs w:val="21"/>
              </w:rPr>
            </w:pPr>
            <w:r>
              <w:rPr>
                <w:rFonts w:hint="eastAsia" w:asciiTheme="minorEastAsia" w:hAnsiTheme="minorEastAsia" w:eastAsiaTheme="minorEastAsia"/>
                <w:szCs w:val="21"/>
              </w:rPr>
              <w:t>9.单片机PLC实训室1个。</w:t>
            </w:r>
          </w:p>
        </w:tc>
        <w:tc>
          <w:tcPr>
            <w:tcW w:w="2340" w:type="dxa"/>
            <w:vAlign w:val="center"/>
          </w:tcPr>
          <w:p>
            <w:pPr>
              <w:rPr>
                <w:rFonts w:asciiTheme="minorEastAsia" w:hAnsiTheme="minorEastAsia" w:eastAsiaTheme="minorEastAsia"/>
                <w:szCs w:val="21"/>
              </w:rPr>
            </w:pP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计算机平面设计</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计算机平面设计实训室5个，软件若干</w:t>
            </w:r>
          </w:p>
        </w:tc>
        <w:tc>
          <w:tcPr>
            <w:tcW w:w="234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1.动漫设计实训室1个。</w:t>
            </w: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机械加工技术</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1.钳工实训室3个；</w:t>
            </w:r>
          </w:p>
          <w:p>
            <w:pPr>
              <w:rPr>
                <w:rFonts w:asciiTheme="minorEastAsia" w:hAnsiTheme="minorEastAsia" w:eastAsiaTheme="minorEastAsia"/>
                <w:szCs w:val="21"/>
              </w:rPr>
            </w:pPr>
            <w:r>
              <w:rPr>
                <w:rFonts w:hint="eastAsia" w:asciiTheme="minorEastAsia" w:hAnsiTheme="minorEastAsia" w:eastAsiaTheme="minorEastAsia"/>
                <w:szCs w:val="21"/>
              </w:rPr>
              <w:t>2.焊工实训室1个；</w:t>
            </w:r>
          </w:p>
          <w:p>
            <w:pPr>
              <w:rPr>
                <w:rFonts w:asciiTheme="minorEastAsia" w:hAnsiTheme="minorEastAsia" w:eastAsiaTheme="minorEastAsia"/>
                <w:szCs w:val="21"/>
              </w:rPr>
            </w:pPr>
            <w:r>
              <w:rPr>
                <w:rFonts w:hint="eastAsia" w:asciiTheme="minorEastAsia" w:hAnsiTheme="minorEastAsia" w:eastAsiaTheme="minorEastAsia"/>
                <w:szCs w:val="21"/>
              </w:rPr>
              <w:t>3.车工实训室2个；</w:t>
            </w:r>
          </w:p>
          <w:p>
            <w:pPr>
              <w:rPr>
                <w:rFonts w:asciiTheme="minorEastAsia" w:hAnsiTheme="minorEastAsia" w:eastAsiaTheme="minorEastAsia"/>
                <w:szCs w:val="21"/>
              </w:rPr>
            </w:pPr>
            <w:r>
              <w:rPr>
                <w:rFonts w:hint="eastAsia" w:asciiTheme="minorEastAsia" w:hAnsiTheme="minorEastAsia" w:eastAsiaTheme="minorEastAsia"/>
                <w:szCs w:val="21"/>
              </w:rPr>
              <w:t>4.数车实训室1个；</w:t>
            </w:r>
          </w:p>
          <w:p>
            <w:pPr>
              <w:rPr>
                <w:rFonts w:asciiTheme="minorEastAsia" w:hAnsiTheme="minorEastAsia" w:eastAsiaTheme="minorEastAsia"/>
                <w:szCs w:val="21"/>
              </w:rPr>
            </w:pPr>
            <w:r>
              <w:rPr>
                <w:rFonts w:hint="eastAsia" w:asciiTheme="minorEastAsia" w:hAnsiTheme="minorEastAsia" w:eastAsiaTheme="minorEastAsia"/>
                <w:szCs w:val="21"/>
              </w:rPr>
              <w:t>5.精加工实训室1个；</w:t>
            </w:r>
          </w:p>
          <w:p>
            <w:pPr>
              <w:rPr>
                <w:rFonts w:asciiTheme="minorEastAsia" w:hAnsiTheme="minorEastAsia" w:eastAsiaTheme="minorEastAsia"/>
                <w:szCs w:val="21"/>
              </w:rPr>
            </w:pPr>
            <w:r>
              <w:rPr>
                <w:rFonts w:hint="eastAsia" w:asciiTheme="minorEastAsia" w:hAnsiTheme="minorEastAsia" w:eastAsiaTheme="minorEastAsia"/>
                <w:szCs w:val="21"/>
              </w:rPr>
              <w:t>6.加工中心实训室1个。</w:t>
            </w:r>
          </w:p>
        </w:tc>
        <w:tc>
          <w:tcPr>
            <w:tcW w:w="2340" w:type="dxa"/>
            <w:vAlign w:val="center"/>
          </w:tcPr>
          <w:p>
            <w:pPr>
              <w:rPr>
                <w:rFonts w:asciiTheme="minorEastAsia" w:hAnsiTheme="minorEastAsia" w:eastAsiaTheme="minorEastAsia"/>
                <w:szCs w:val="21"/>
              </w:rPr>
            </w:pP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汽车运用与维修</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1.汽车维修车间1个；</w:t>
            </w:r>
          </w:p>
          <w:p>
            <w:pPr>
              <w:rPr>
                <w:rFonts w:asciiTheme="minorEastAsia" w:hAnsiTheme="minorEastAsia" w:eastAsiaTheme="minorEastAsia"/>
                <w:szCs w:val="21"/>
              </w:rPr>
            </w:pPr>
            <w:r>
              <w:rPr>
                <w:rFonts w:hint="eastAsia" w:asciiTheme="minorEastAsia" w:hAnsiTheme="minorEastAsia" w:eastAsiaTheme="minorEastAsia"/>
                <w:szCs w:val="21"/>
              </w:rPr>
              <w:t>2.汽车电器维修实训室1个；</w:t>
            </w:r>
          </w:p>
          <w:p>
            <w:pPr>
              <w:rPr>
                <w:rFonts w:asciiTheme="minorEastAsia" w:hAnsiTheme="minorEastAsia" w:eastAsiaTheme="minorEastAsia"/>
                <w:szCs w:val="21"/>
              </w:rPr>
            </w:pPr>
            <w:r>
              <w:rPr>
                <w:rFonts w:hint="eastAsia" w:asciiTheme="minorEastAsia" w:hAnsiTheme="minorEastAsia" w:eastAsiaTheme="minorEastAsia"/>
                <w:szCs w:val="21"/>
              </w:rPr>
              <w:t>3.模拟驾驶实训室1个；</w:t>
            </w:r>
          </w:p>
          <w:p>
            <w:pPr>
              <w:rPr>
                <w:rFonts w:asciiTheme="minorEastAsia" w:hAnsiTheme="minorEastAsia" w:eastAsiaTheme="minorEastAsia"/>
                <w:szCs w:val="21"/>
              </w:rPr>
            </w:pPr>
            <w:r>
              <w:rPr>
                <w:rFonts w:hint="eastAsia" w:asciiTheme="minorEastAsia" w:hAnsiTheme="minorEastAsia" w:eastAsiaTheme="minorEastAsia"/>
                <w:szCs w:val="21"/>
              </w:rPr>
              <w:t>4.发动机变速箱拆装实训室1个；</w:t>
            </w:r>
          </w:p>
          <w:p>
            <w:pPr>
              <w:rPr>
                <w:rFonts w:asciiTheme="minorEastAsia" w:hAnsiTheme="minorEastAsia" w:eastAsiaTheme="minorEastAsia"/>
                <w:szCs w:val="21"/>
              </w:rPr>
            </w:pPr>
            <w:r>
              <w:rPr>
                <w:rFonts w:hint="eastAsia" w:asciiTheme="minorEastAsia" w:hAnsiTheme="minorEastAsia" w:eastAsiaTheme="minorEastAsia"/>
                <w:szCs w:val="21"/>
              </w:rPr>
              <w:t>5.发动机故障检测实训室1个；</w:t>
            </w:r>
          </w:p>
          <w:p>
            <w:pPr>
              <w:rPr>
                <w:rFonts w:asciiTheme="minorEastAsia" w:hAnsiTheme="minorEastAsia" w:eastAsiaTheme="minorEastAsia"/>
                <w:szCs w:val="21"/>
              </w:rPr>
            </w:pPr>
            <w:r>
              <w:rPr>
                <w:rFonts w:hint="eastAsia" w:asciiTheme="minorEastAsia" w:hAnsiTheme="minorEastAsia" w:eastAsiaTheme="minorEastAsia"/>
                <w:szCs w:val="21"/>
              </w:rPr>
              <w:t>6.钣金喷涂车间1个；</w:t>
            </w:r>
          </w:p>
          <w:p>
            <w:pPr>
              <w:rPr>
                <w:rFonts w:asciiTheme="minorEastAsia" w:hAnsiTheme="minorEastAsia" w:eastAsiaTheme="minorEastAsia"/>
                <w:szCs w:val="21"/>
              </w:rPr>
            </w:pPr>
            <w:r>
              <w:rPr>
                <w:rFonts w:hint="eastAsia" w:asciiTheme="minorEastAsia" w:hAnsiTheme="minorEastAsia" w:eastAsiaTheme="minorEastAsia"/>
                <w:szCs w:val="21"/>
              </w:rPr>
              <w:t>7.汽车维修部1个。</w:t>
            </w:r>
          </w:p>
        </w:tc>
        <w:tc>
          <w:tcPr>
            <w:tcW w:w="234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1.新能源汽车实训室1个；</w:t>
            </w:r>
          </w:p>
          <w:p>
            <w:pPr>
              <w:rPr>
                <w:rFonts w:asciiTheme="minorEastAsia" w:hAnsiTheme="minorEastAsia" w:eastAsiaTheme="minorEastAsia"/>
                <w:szCs w:val="21"/>
              </w:rPr>
            </w:pPr>
            <w:r>
              <w:rPr>
                <w:rFonts w:hint="eastAsia" w:asciiTheme="minorEastAsia" w:hAnsiTheme="minorEastAsia" w:eastAsiaTheme="minorEastAsia"/>
                <w:szCs w:val="21"/>
              </w:rPr>
              <w:t>2.汽车智慧教育理实一体化实训室1个；</w:t>
            </w:r>
          </w:p>
          <w:p>
            <w:pPr>
              <w:rPr>
                <w:rFonts w:asciiTheme="minorEastAsia" w:hAnsiTheme="minorEastAsia" w:eastAsiaTheme="minorEastAsia"/>
                <w:szCs w:val="21"/>
              </w:rPr>
            </w:pPr>
            <w:r>
              <w:rPr>
                <w:rFonts w:hint="eastAsia" w:asciiTheme="minorEastAsia" w:hAnsiTheme="minorEastAsia" w:eastAsiaTheme="minorEastAsia"/>
                <w:szCs w:val="21"/>
              </w:rPr>
              <w:t>3.汽车修理厂1个；</w:t>
            </w:r>
          </w:p>
          <w:p>
            <w:pPr>
              <w:rPr>
                <w:rFonts w:asciiTheme="minorEastAsia" w:hAnsiTheme="minorEastAsia" w:eastAsiaTheme="minorEastAsia"/>
                <w:szCs w:val="21"/>
              </w:rPr>
            </w:pPr>
            <w:r>
              <w:rPr>
                <w:rFonts w:hint="eastAsia" w:asciiTheme="minorEastAsia" w:hAnsiTheme="minorEastAsia" w:eastAsiaTheme="minorEastAsia"/>
                <w:szCs w:val="21"/>
              </w:rPr>
              <w:t>4.汽车钣金车间1个。</w:t>
            </w: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航空服务</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1.形体训练室1个。</w:t>
            </w:r>
          </w:p>
        </w:tc>
        <w:tc>
          <w:tcPr>
            <w:tcW w:w="234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1.模拟航空舱实训室1个。</w:t>
            </w: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旅游服务与管理</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1.中餐实训室1个；</w:t>
            </w:r>
          </w:p>
          <w:p>
            <w:pPr>
              <w:rPr>
                <w:rFonts w:asciiTheme="minorEastAsia" w:hAnsiTheme="minorEastAsia" w:eastAsiaTheme="minorEastAsia"/>
                <w:szCs w:val="21"/>
              </w:rPr>
            </w:pPr>
            <w:r>
              <w:rPr>
                <w:rFonts w:hint="eastAsia" w:asciiTheme="minorEastAsia" w:hAnsiTheme="minorEastAsia" w:eastAsiaTheme="minorEastAsia"/>
                <w:szCs w:val="21"/>
              </w:rPr>
              <w:t>2.西餐实训室1个；</w:t>
            </w:r>
          </w:p>
          <w:p>
            <w:pPr>
              <w:rPr>
                <w:rFonts w:asciiTheme="minorEastAsia" w:hAnsiTheme="minorEastAsia" w:eastAsiaTheme="minorEastAsia"/>
                <w:szCs w:val="21"/>
              </w:rPr>
            </w:pPr>
            <w:r>
              <w:rPr>
                <w:rFonts w:hint="eastAsia" w:asciiTheme="minorEastAsia" w:hAnsiTheme="minorEastAsia" w:eastAsiaTheme="minorEastAsia"/>
                <w:szCs w:val="21"/>
              </w:rPr>
              <w:t>3.客房服务实训室1个；</w:t>
            </w:r>
          </w:p>
          <w:p>
            <w:pPr>
              <w:rPr>
                <w:rFonts w:asciiTheme="minorEastAsia" w:hAnsiTheme="minorEastAsia" w:eastAsiaTheme="minorEastAsia"/>
                <w:szCs w:val="21"/>
              </w:rPr>
            </w:pPr>
            <w:r>
              <w:rPr>
                <w:rFonts w:hint="eastAsia" w:asciiTheme="minorEastAsia" w:hAnsiTheme="minorEastAsia" w:eastAsiaTheme="minorEastAsia"/>
                <w:szCs w:val="21"/>
              </w:rPr>
              <w:t>4.导游实训室1个。</w:t>
            </w:r>
          </w:p>
        </w:tc>
        <w:tc>
          <w:tcPr>
            <w:tcW w:w="2340" w:type="dxa"/>
            <w:vAlign w:val="center"/>
          </w:tcPr>
          <w:p>
            <w:pPr>
              <w:rPr>
                <w:rFonts w:asciiTheme="minorEastAsia" w:hAnsiTheme="minorEastAsia" w:eastAsiaTheme="minorEastAsia"/>
                <w:szCs w:val="21"/>
              </w:rPr>
            </w:pP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中餐烹饪与营养膳食</w:t>
            </w:r>
          </w:p>
        </w:tc>
        <w:tc>
          <w:tcPr>
            <w:tcW w:w="3360" w:type="dxa"/>
            <w:vAlign w:val="center"/>
          </w:tcPr>
          <w:p>
            <w:pPr>
              <w:rPr>
                <w:rFonts w:asciiTheme="minorEastAsia" w:hAnsiTheme="minorEastAsia" w:eastAsiaTheme="minorEastAsia"/>
                <w:szCs w:val="21"/>
              </w:rPr>
            </w:pPr>
          </w:p>
        </w:tc>
        <w:tc>
          <w:tcPr>
            <w:tcW w:w="234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1.中餐烹饪实训室1个；</w:t>
            </w:r>
          </w:p>
          <w:p>
            <w:pPr>
              <w:rPr>
                <w:rFonts w:asciiTheme="minorEastAsia" w:hAnsiTheme="minorEastAsia" w:eastAsiaTheme="minorEastAsia"/>
                <w:szCs w:val="21"/>
              </w:rPr>
            </w:pPr>
            <w:r>
              <w:rPr>
                <w:rFonts w:hint="eastAsia" w:asciiTheme="minorEastAsia" w:hAnsiTheme="minorEastAsia" w:eastAsiaTheme="minorEastAsia"/>
                <w:szCs w:val="21"/>
              </w:rPr>
              <w:t>2.西餐实训室1个；</w:t>
            </w:r>
          </w:p>
          <w:p>
            <w:pPr>
              <w:rPr>
                <w:rFonts w:asciiTheme="minorEastAsia" w:hAnsiTheme="minorEastAsia" w:eastAsiaTheme="minorEastAsia"/>
                <w:szCs w:val="21"/>
              </w:rPr>
            </w:pPr>
            <w:r>
              <w:rPr>
                <w:rFonts w:hint="eastAsia" w:asciiTheme="minorEastAsia" w:hAnsiTheme="minorEastAsia" w:eastAsiaTheme="minorEastAsia"/>
                <w:szCs w:val="21"/>
              </w:rPr>
              <w:t>3.刀工勺工实训室1个；</w:t>
            </w:r>
          </w:p>
          <w:p>
            <w:pPr>
              <w:rPr>
                <w:rFonts w:asciiTheme="minorEastAsia" w:hAnsiTheme="minorEastAsia" w:eastAsiaTheme="minorEastAsia"/>
                <w:szCs w:val="21"/>
              </w:rPr>
            </w:pPr>
            <w:r>
              <w:rPr>
                <w:rFonts w:hint="eastAsia" w:asciiTheme="minorEastAsia" w:hAnsiTheme="minorEastAsia" w:eastAsiaTheme="minorEastAsia"/>
                <w:szCs w:val="21"/>
              </w:rPr>
              <w:t>4.模拟餐厅1个。</w:t>
            </w: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服装设计与工艺</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380V高速平颖机70台，包缝机2台，锁眼机1台，高压烫台2个，挂瓶式烫台4个，CAD喷墨打印机1台，样板切割机1台，高速电子套结机1台</w:t>
            </w:r>
          </w:p>
        </w:tc>
        <w:tc>
          <w:tcPr>
            <w:tcW w:w="2340" w:type="dxa"/>
            <w:vAlign w:val="center"/>
          </w:tcPr>
          <w:p>
            <w:pPr>
              <w:rPr>
                <w:rFonts w:asciiTheme="minorEastAsia" w:hAnsiTheme="minorEastAsia" w:eastAsiaTheme="minorEastAsia"/>
                <w:szCs w:val="21"/>
              </w:rPr>
            </w:pP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电子商务</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计算机40台，模拟工作台8套，沙盘1个</w:t>
            </w:r>
          </w:p>
        </w:tc>
        <w:tc>
          <w:tcPr>
            <w:tcW w:w="2340" w:type="dxa"/>
            <w:vAlign w:val="center"/>
          </w:tcPr>
          <w:p>
            <w:pPr>
              <w:rPr>
                <w:rFonts w:asciiTheme="minorEastAsia" w:hAnsiTheme="minorEastAsia" w:eastAsiaTheme="minorEastAsia"/>
                <w:szCs w:val="21"/>
              </w:rPr>
            </w:pP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畜禽生产与疾病防治</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1.农学专业综合实训室1个；</w:t>
            </w:r>
          </w:p>
          <w:p>
            <w:pPr>
              <w:rPr>
                <w:rFonts w:asciiTheme="minorEastAsia" w:hAnsiTheme="minorEastAsia" w:eastAsiaTheme="minorEastAsia"/>
                <w:szCs w:val="21"/>
              </w:rPr>
            </w:pPr>
            <w:r>
              <w:rPr>
                <w:rFonts w:hint="eastAsia" w:asciiTheme="minorEastAsia" w:hAnsiTheme="minorEastAsia" w:eastAsiaTheme="minorEastAsia"/>
                <w:szCs w:val="21"/>
              </w:rPr>
              <w:t>2.农学专业对外服务部1个。</w:t>
            </w:r>
          </w:p>
        </w:tc>
        <w:tc>
          <w:tcPr>
            <w:tcW w:w="2340" w:type="dxa"/>
            <w:vAlign w:val="center"/>
          </w:tcPr>
          <w:p>
            <w:pPr>
              <w:rPr>
                <w:rFonts w:asciiTheme="minorEastAsia" w:hAnsiTheme="minorEastAsia" w:eastAsiaTheme="minorEastAsia"/>
                <w:szCs w:val="21"/>
              </w:rPr>
            </w:pPr>
          </w:p>
        </w:tc>
        <w:tc>
          <w:tcPr>
            <w:tcW w:w="1108" w:type="dxa"/>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vAlign w:val="center"/>
          </w:tcPr>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信息化建设</w:t>
            </w:r>
          </w:p>
        </w:tc>
        <w:tc>
          <w:tcPr>
            <w:tcW w:w="33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校园网、综合管理平台</w:t>
            </w:r>
          </w:p>
        </w:tc>
        <w:tc>
          <w:tcPr>
            <w:tcW w:w="234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1.中心机房1个；</w:t>
            </w:r>
          </w:p>
          <w:p>
            <w:pPr>
              <w:rPr>
                <w:rFonts w:asciiTheme="minorEastAsia" w:hAnsiTheme="minorEastAsia" w:eastAsiaTheme="minorEastAsia"/>
                <w:szCs w:val="21"/>
              </w:rPr>
            </w:pPr>
            <w:r>
              <w:rPr>
                <w:rFonts w:hint="eastAsia" w:asciiTheme="minorEastAsia" w:hAnsiTheme="minorEastAsia" w:eastAsiaTheme="minorEastAsia"/>
                <w:szCs w:val="21"/>
              </w:rPr>
              <w:t>2.录播教室1个；</w:t>
            </w:r>
          </w:p>
          <w:p>
            <w:pPr>
              <w:rPr>
                <w:rFonts w:asciiTheme="minorEastAsia" w:hAnsiTheme="minorEastAsia" w:eastAsiaTheme="minorEastAsia"/>
                <w:szCs w:val="21"/>
              </w:rPr>
            </w:pPr>
            <w:r>
              <w:rPr>
                <w:rFonts w:hint="eastAsia" w:asciiTheme="minorEastAsia" w:hAnsiTheme="minorEastAsia" w:eastAsiaTheme="minorEastAsia"/>
                <w:szCs w:val="21"/>
              </w:rPr>
              <w:t>3.校园电视台1个；</w:t>
            </w:r>
          </w:p>
          <w:p>
            <w:pPr>
              <w:rPr>
                <w:rFonts w:asciiTheme="minorEastAsia" w:hAnsiTheme="minorEastAsia" w:eastAsiaTheme="minorEastAsia"/>
                <w:szCs w:val="21"/>
              </w:rPr>
            </w:pPr>
            <w:r>
              <w:rPr>
                <w:rFonts w:hint="eastAsia" w:asciiTheme="minorEastAsia" w:hAnsiTheme="minorEastAsia" w:eastAsiaTheme="minorEastAsia"/>
                <w:szCs w:val="21"/>
              </w:rPr>
              <w:t>4.信息化平台进一步完善。</w:t>
            </w:r>
          </w:p>
        </w:tc>
        <w:tc>
          <w:tcPr>
            <w:tcW w:w="1108" w:type="dxa"/>
            <w:vAlign w:val="center"/>
          </w:tcPr>
          <w:p>
            <w:pPr>
              <w:jc w:val="center"/>
              <w:rPr>
                <w:rFonts w:asciiTheme="minorEastAsia" w:hAnsiTheme="minorEastAsia" w:eastAsiaTheme="minorEastAsia"/>
                <w:szCs w:val="21"/>
              </w:rPr>
            </w:pPr>
          </w:p>
        </w:tc>
      </w:tr>
    </w:tbl>
    <w:p>
      <w:pPr>
        <w:spacing w:before="156" w:beforeLines="50" w:line="360" w:lineRule="auto"/>
        <w:jc w:val="center"/>
        <w:rPr>
          <w:szCs w:val="21"/>
        </w:rPr>
      </w:pPr>
    </w:p>
    <w:p>
      <w:pPr>
        <w:spacing w:before="156" w:beforeLines="50" w:line="360" w:lineRule="auto"/>
        <w:jc w:val="center"/>
        <w:rPr>
          <w:szCs w:val="21"/>
        </w:rPr>
      </w:pPr>
      <w:r>
        <w:rPr>
          <w:rFonts w:hint="eastAsia"/>
          <w:szCs w:val="21"/>
        </w:rPr>
        <w:t>表1-5</w:t>
      </w:r>
      <w:r>
        <w:rPr>
          <w:szCs w:val="21"/>
        </w:rPr>
        <w:t xml:space="preserve">  </w:t>
      </w:r>
      <w:r>
        <w:rPr>
          <w:rFonts w:hint="eastAsia"/>
          <w:szCs w:val="21"/>
        </w:rPr>
        <w:t>校外实训基地统计表</w:t>
      </w:r>
    </w:p>
    <w:tbl>
      <w:tblPr>
        <w:tblStyle w:val="3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2160"/>
        <w:gridCol w:w="1667"/>
        <w:gridCol w:w="3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959" w:type="dxa"/>
            <w:shd w:val="clear" w:color="auto" w:fill="D8D8D8" w:themeFill="background1" w:themeFillShade="D9"/>
            <w:vAlign w:val="center"/>
          </w:tcPr>
          <w:p>
            <w:pPr>
              <w:jc w:val="center"/>
              <w:rPr>
                <w:rFonts w:ascii="宋体" w:hAnsi="宋体"/>
                <w:b/>
                <w:sz w:val="24"/>
                <w:szCs w:val="24"/>
              </w:rPr>
            </w:pPr>
            <w:r>
              <w:rPr>
                <w:rFonts w:hint="eastAsia" w:ascii="宋体" w:hAnsi="宋体"/>
                <w:b/>
                <w:sz w:val="24"/>
                <w:szCs w:val="24"/>
              </w:rPr>
              <w:t>序号</w:t>
            </w:r>
          </w:p>
        </w:tc>
        <w:tc>
          <w:tcPr>
            <w:tcW w:w="2160" w:type="dxa"/>
            <w:tcBorders>
              <w:right w:val="single" w:color="auto" w:sz="4" w:space="0"/>
            </w:tcBorders>
            <w:shd w:val="clear" w:color="auto" w:fill="D8D8D8" w:themeFill="background1" w:themeFillShade="D9"/>
            <w:vAlign w:val="center"/>
          </w:tcPr>
          <w:p>
            <w:pPr>
              <w:jc w:val="center"/>
              <w:rPr>
                <w:rFonts w:ascii="宋体" w:hAnsi="宋体"/>
                <w:b/>
                <w:sz w:val="24"/>
                <w:szCs w:val="24"/>
              </w:rPr>
            </w:pPr>
            <w:r>
              <w:rPr>
                <w:rFonts w:hint="eastAsia" w:ascii="宋体" w:hAnsi="宋体"/>
                <w:b/>
                <w:sz w:val="24"/>
                <w:szCs w:val="24"/>
              </w:rPr>
              <w:t>专业名称</w:t>
            </w:r>
          </w:p>
        </w:tc>
        <w:tc>
          <w:tcPr>
            <w:tcW w:w="1667" w:type="dxa"/>
            <w:tcBorders>
              <w:left w:val="single" w:color="auto" w:sz="4" w:space="0"/>
              <w:right w:val="single" w:color="auto" w:sz="4" w:space="0"/>
            </w:tcBorders>
            <w:shd w:val="clear" w:color="auto" w:fill="D8D8D8" w:themeFill="background1" w:themeFillShade="D9"/>
            <w:vAlign w:val="center"/>
          </w:tcPr>
          <w:p>
            <w:pPr>
              <w:spacing w:line="400" w:lineRule="exact"/>
              <w:jc w:val="center"/>
              <w:rPr>
                <w:rFonts w:ascii="宋体" w:hAnsi="宋体"/>
                <w:b/>
                <w:sz w:val="24"/>
                <w:szCs w:val="24"/>
              </w:rPr>
            </w:pPr>
            <w:r>
              <w:rPr>
                <w:rFonts w:hint="eastAsia" w:ascii="宋体" w:hAnsi="宋体"/>
                <w:b/>
                <w:sz w:val="24"/>
                <w:szCs w:val="24"/>
              </w:rPr>
              <w:t>校外实训基地数量（个）</w:t>
            </w:r>
          </w:p>
        </w:tc>
        <w:tc>
          <w:tcPr>
            <w:tcW w:w="3736" w:type="dxa"/>
            <w:tcBorders>
              <w:left w:val="single" w:color="auto" w:sz="4" w:space="0"/>
            </w:tcBorders>
            <w:shd w:val="clear" w:color="auto" w:fill="D8D8D8" w:themeFill="background1" w:themeFillShade="D9"/>
            <w:vAlign w:val="center"/>
          </w:tcPr>
          <w:p>
            <w:pPr>
              <w:jc w:val="center"/>
              <w:rPr>
                <w:rFonts w:ascii="宋体" w:hAnsi="宋体"/>
                <w:b/>
                <w:sz w:val="24"/>
                <w:szCs w:val="24"/>
              </w:rPr>
            </w:pPr>
            <w:r>
              <w:rPr>
                <w:rFonts w:hint="eastAsia" w:ascii="宋体" w:hAnsi="宋体"/>
                <w:b/>
                <w:sz w:val="24"/>
                <w:szCs w:val="24"/>
              </w:rPr>
              <w:t>实训基地名称（部分）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959" w:type="dxa"/>
            <w:vAlign w:val="center"/>
          </w:tcPr>
          <w:p>
            <w:pPr>
              <w:spacing w:line="360" w:lineRule="auto"/>
              <w:jc w:val="center"/>
              <w:rPr>
                <w:rFonts w:ascii="宋体" w:hAnsi="宋体"/>
              </w:rPr>
            </w:pPr>
            <w:r>
              <w:rPr>
                <w:rFonts w:ascii="宋体" w:hAnsi="宋体"/>
              </w:rPr>
              <w:t>1</w:t>
            </w:r>
          </w:p>
        </w:tc>
        <w:tc>
          <w:tcPr>
            <w:tcW w:w="2160" w:type="dxa"/>
            <w:tcBorders>
              <w:right w:val="single" w:color="auto" w:sz="4" w:space="0"/>
            </w:tcBorders>
            <w:vAlign w:val="center"/>
          </w:tcPr>
          <w:p>
            <w:pPr>
              <w:spacing w:line="360" w:lineRule="auto"/>
              <w:jc w:val="center"/>
              <w:rPr>
                <w:rFonts w:ascii="宋体"/>
              </w:rPr>
            </w:pPr>
            <w:r>
              <w:rPr>
                <w:rFonts w:hint="eastAsia" w:ascii="宋体" w:hAnsi="宋体"/>
              </w:rPr>
              <w:t>计算机平面设计专业</w:t>
            </w:r>
          </w:p>
        </w:tc>
        <w:tc>
          <w:tcPr>
            <w:tcW w:w="1667" w:type="dxa"/>
            <w:tcBorders>
              <w:left w:val="single" w:color="auto" w:sz="4" w:space="0"/>
              <w:right w:val="single" w:color="auto" w:sz="4" w:space="0"/>
            </w:tcBorders>
            <w:vAlign w:val="center"/>
          </w:tcPr>
          <w:p>
            <w:pPr>
              <w:tabs>
                <w:tab w:val="left" w:pos="480"/>
              </w:tabs>
              <w:spacing w:line="360" w:lineRule="auto"/>
              <w:jc w:val="center"/>
              <w:rPr>
                <w:rFonts w:ascii="宋体"/>
              </w:rPr>
            </w:pPr>
            <w:r>
              <w:rPr>
                <w:rFonts w:hint="eastAsia" w:ascii="宋体"/>
              </w:rPr>
              <w:t>1</w:t>
            </w:r>
          </w:p>
        </w:tc>
        <w:tc>
          <w:tcPr>
            <w:tcW w:w="3736" w:type="dxa"/>
            <w:tcBorders>
              <w:left w:val="single" w:color="auto" w:sz="4" w:space="0"/>
            </w:tcBorders>
            <w:vAlign w:val="center"/>
          </w:tcPr>
          <w:p>
            <w:pPr>
              <w:spacing w:line="360" w:lineRule="auto"/>
              <w:jc w:val="center"/>
              <w:rPr>
                <w:rFonts w:ascii="宋体"/>
              </w:rPr>
            </w:pPr>
            <w:r>
              <w:rPr>
                <w:rFonts w:hint="eastAsia" w:ascii="宋体"/>
              </w:rPr>
              <w:t>四川魔力风暴科技有限公司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959" w:type="dxa"/>
            <w:tcBorders>
              <w:top w:val="single" w:color="auto" w:sz="4" w:space="0"/>
            </w:tcBorders>
            <w:vAlign w:val="center"/>
          </w:tcPr>
          <w:p>
            <w:pPr>
              <w:spacing w:line="360" w:lineRule="auto"/>
              <w:jc w:val="center"/>
              <w:rPr>
                <w:rFonts w:ascii="宋体" w:hAnsi="宋体"/>
              </w:rPr>
            </w:pPr>
            <w:r>
              <w:rPr>
                <w:rFonts w:hint="eastAsia" w:ascii="宋体" w:hAnsi="宋体"/>
              </w:rPr>
              <w:t>2</w:t>
            </w:r>
          </w:p>
        </w:tc>
        <w:tc>
          <w:tcPr>
            <w:tcW w:w="2160" w:type="dxa"/>
            <w:tcBorders>
              <w:top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电子技术应用</w:t>
            </w:r>
          </w:p>
        </w:tc>
        <w:tc>
          <w:tcPr>
            <w:tcW w:w="1667" w:type="dxa"/>
            <w:tcBorders>
              <w:top w:val="single" w:color="auto" w:sz="4" w:space="0"/>
              <w:left w:val="single" w:color="auto" w:sz="4" w:space="0"/>
              <w:right w:val="single" w:color="auto" w:sz="4" w:space="0"/>
            </w:tcBorders>
            <w:vAlign w:val="center"/>
          </w:tcPr>
          <w:p>
            <w:pPr>
              <w:spacing w:line="360" w:lineRule="auto"/>
              <w:jc w:val="center"/>
              <w:rPr>
                <w:rFonts w:ascii="宋体"/>
              </w:rPr>
            </w:pPr>
            <w:r>
              <w:rPr>
                <w:rFonts w:hint="eastAsia" w:ascii="宋体"/>
              </w:rPr>
              <w:t>1</w:t>
            </w:r>
          </w:p>
        </w:tc>
        <w:tc>
          <w:tcPr>
            <w:tcW w:w="3736" w:type="dxa"/>
            <w:tcBorders>
              <w:top w:val="single" w:color="auto" w:sz="4" w:space="0"/>
              <w:left w:val="single" w:color="auto" w:sz="4" w:space="0"/>
            </w:tcBorders>
            <w:vAlign w:val="center"/>
          </w:tcPr>
          <w:p>
            <w:pPr>
              <w:spacing w:line="360" w:lineRule="auto"/>
              <w:jc w:val="center"/>
              <w:rPr>
                <w:rFonts w:ascii="宋体"/>
              </w:rPr>
            </w:pPr>
            <w:r>
              <w:rPr>
                <w:rFonts w:hint="eastAsia" w:ascii="宋体"/>
              </w:rPr>
              <w:t>无锡电子仪表工业有限公司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959" w:type="dxa"/>
            <w:tcBorders>
              <w:top w:val="single" w:color="auto" w:sz="4" w:space="0"/>
            </w:tcBorders>
            <w:vAlign w:val="center"/>
          </w:tcPr>
          <w:p>
            <w:pPr>
              <w:spacing w:line="360" w:lineRule="auto"/>
              <w:jc w:val="center"/>
              <w:rPr>
                <w:rFonts w:ascii="宋体" w:hAnsi="宋体"/>
              </w:rPr>
            </w:pPr>
            <w:r>
              <w:rPr>
                <w:rFonts w:hint="eastAsia" w:ascii="宋体" w:hAnsi="宋体"/>
              </w:rPr>
              <w:t>3</w:t>
            </w:r>
          </w:p>
        </w:tc>
        <w:tc>
          <w:tcPr>
            <w:tcW w:w="2160" w:type="dxa"/>
            <w:tcBorders>
              <w:top w:val="single" w:color="auto" w:sz="4" w:space="0"/>
              <w:right w:val="single" w:color="auto" w:sz="4" w:space="0"/>
            </w:tcBorders>
            <w:vAlign w:val="center"/>
          </w:tcPr>
          <w:p>
            <w:pPr>
              <w:spacing w:line="360" w:lineRule="auto"/>
              <w:jc w:val="center"/>
              <w:rPr>
                <w:rFonts w:ascii="宋体"/>
              </w:rPr>
            </w:pPr>
            <w:r>
              <w:rPr>
                <w:rFonts w:hint="eastAsia" w:ascii="宋体" w:hAnsi="宋体"/>
              </w:rPr>
              <w:t>机械加工技术专业</w:t>
            </w:r>
          </w:p>
        </w:tc>
        <w:tc>
          <w:tcPr>
            <w:tcW w:w="1667" w:type="dxa"/>
            <w:tcBorders>
              <w:top w:val="single" w:color="auto" w:sz="4" w:space="0"/>
              <w:left w:val="single" w:color="auto" w:sz="4" w:space="0"/>
              <w:right w:val="single" w:color="auto" w:sz="4" w:space="0"/>
            </w:tcBorders>
            <w:vAlign w:val="center"/>
          </w:tcPr>
          <w:p>
            <w:pPr>
              <w:spacing w:line="360" w:lineRule="auto"/>
              <w:jc w:val="center"/>
              <w:rPr>
                <w:rFonts w:ascii="宋体"/>
              </w:rPr>
            </w:pPr>
            <w:r>
              <w:rPr>
                <w:rFonts w:hint="eastAsia" w:ascii="宋体"/>
              </w:rPr>
              <w:t>1</w:t>
            </w:r>
          </w:p>
        </w:tc>
        <w:tc>
          <w:tcPr>
            <w:tcW w:w="3736" w:type="dxa"/>
            <w:tcBorders>
              <w:top w:val="single" w:color="auto" w:sz="4" w:space="0"/>
              <w:left w:val="single" w:color="auto" w:sz="4" w:space="0"/>
            </w:tcBorders>
            <w:vAlign w:val="center"/>
          </w:tcPr>
          <w:p>
            <w:pPr>
              <w:spacing w:line="360" w:lineRule="auto"/>
              <w:jc w:val="center"/>
              <w:rPr>
                <w:rFonts w:ascii="宋体"/>
              </w:rPr>
            </w:pPr>
            <w:r>
              <w:rPr>
                <w:rFonts w:hint="eastAsia" w:ascii="宋体"/>
              </w:rPr>
              <w:t>比亚迪汽车制造有限公司（总部）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959" w:type="dxa"/>
            <w:vAlign w:val="center"/>
          </w:tcPr>
          <w:p>
            <w:pPr>
              <w:spacing w:line="360" w:lineRule="auto"/>
              <w:jc w:val="center"/>
              <w:rPr>
                <w:rFonts w:ascii="宋体" w:hAnsi="宋体"/>
              </w:rPr>
            </w:pPr>
            <w:r>
              <w:rPr>
                <w:rFonts w:hint="eastAsia" w:ascii="宋体" w:hAnsi="宋体"/>
              </w:rPr>
              <w:t>4</w:t>
            </w:r>
          </w:p>
        </w:tc>
        <w:tc>
          <w:tcPr>
            <w:tcW w:w="2160" w:type="dxa"/>
            <w:tcBorders>
              <w:right w:val="single" w:color="auto" w:sz="4" w:space="0"/>
            </w:tcBorders>
            <w:vAlign w:val="center"/>
          </w:tcPr>
          <w:p>
            <w:pPr>
              <w:spacing w:line="360" w:lineRule="auto"/>
              <w:jc w:val="center"/>
              <w:rPr>
                <w:rFonts w:ascii="宋体"/>
              </w:rPr>
            </w:pPr>
            <w:r>
              <w:rPr>
                <w:rFonts w:hint="eastAsia" w:ascii="宋体" w:hAnsi="宋体"/>
              </w:rPr>
              <w:t>航空服务专业</w:t>
            </w:r>
          </w:p>
        </w:tc>
        <w:tc>
          <w:tcPr>
            <w:tcW w:w="1667" w:type="dxa"/>
            <w:tcBorders>
              <w:left w:val="single" w:color="auto" w:sz="4" w:space="0"/>
              <w:right w:val="single" w:color="auto" w:sz="4" w:space="0"/>
            </w:tcBorders>
            <w:vAlign w:val="center"/>
          </w:tcPr>
          <w:p>
            <w:pPr>
              <w:spacing w:line="360" w:lineRule="auto"/>
              <w:jc w:val="center"/>
              <w:rPr>
                <w:rFonts w:ascii="宋体"/>
              </w:rPr>
            </w:pPr>
            <w:r>
              <w:rPr>
                <w:rFonts w:hint="eastAsia" w:ascii="宋体"/>
              </w:rPr>
              <w:t>1</w:t>
            </w:r>
          </w:p>
        </w:tc>
        <w:tc>
          <w:tcPr>
            <w:tcW w:w="3736" w:type="dxa"/>
            <w:tcBorders>
              <w:left w:val="single" w:color="auto" w:sz="4" w:space="0"/>
            </w:tcBorders>
            <w:vAlign w:val="center"/>
          </w:tcPr>
          <w:p>
            <w:pPr>
              <w:spacing w:line="360" w:lineRule="auto"/>
              <w:jc w:val="center"/>
              <w:rPr>
                <w:rFonts w:ascii="宋体"/>
              </w:rPr>
            </w:pPr>
            <w:r>
              <w:rPr>
                <w:rFonts w:hint="eastAsia" w:ascii="宋体"/>
              </w:rPr>
              <w:t>中航国铁教育投资管理有限公司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959" w:type="dxa"/>
            <w:vAlign w:val="center"/>
          </w:tcPr>
          <w:p>
            <w:pPr>
              <w:spacing w:line="360" w:lineRule="auto"/>
              <w:jc w:val="center"/>
              <w:rPr>
                <w:rFonts w:ascii="宋体" w:hAnsi="宋体"/>
              </w:rPr>
            </w:pPr>
            <w:r>
              <w:rPr>
                <w:rFonts w:hint="eastAsia" w:ascii="宋体" w:hAnsi="宋体"/>
              </w:rPr>
              <w:t>5</w:t>
            </w:r>
          </w:p>
        </w:tc>
        <w:tc>
          <w:tcPr>
            <w:tcW w:w="2160" w:type="dxa"/>
            <w:tcBorders>
              <w:right w:val="single" w:color="auto" w:sz="4" w:space="0"/>
            </w:tcBorders>
            <w:vAlign w:val="center"/>
          </w:tcPr>
          <w:p>
            <w:pPr>
              <w:spacing w:line="360" w:lineRule="auto"/>
              <w:jc w:val="center"/>
              <w:rPr>
                <w:rFonts w:ascii="宋体" w:hAnsi="宋体"/>
              </w:rPr>
            </w:pPr>
            <w:r>
              <w:rPr>
                <w:rFonts w:hint="eastAsia" w:ascii="宋体" w:hAnsi="宋体"/>
              </w:rPr>
              <w:t>中餐烹饪与营养膳食</w:t>
            </w:r>
          </w:p>
        </w:tc>
        <w:tc>
          <w:tcPr>
            <w:tcW w:w="1667" w:type="dxa"/>
            <w:tcBorders>
              <w:left w:val="single" w:color="auto" w:sz="4" w:space="0"/>
              <w:right w:val="single" w:color="auto" w:sz="4" w:space="0"/>
            </w:tcBorders>
            <w:vAlign w:val="center"/>
          </w:tcPr>
          <w:p>
            <w:pPr>
              <w:spacing w:line="360" w:lineRule="auto"/>
              <w:jc w:val="center"/>
              <w:rPr>
                <w:rFonts w:ascii="宋体"/>
              </w:rPr>
            </w:pPr>
            <w:r>
              <w:rPr>
                <w:rFonts w:hint="eastAsia" w:ascii="宋体"/>
              </w:rPr>
              <w:t>1</w:t>
            </w:r>
          </w:p>
        </w:tc>
        <w:tc>
          <w:tcPr>
            <w:tcW w:w="3736" w:type="dxa"/>
            <w:tcBorders>
              <w:left w:val="single" w:color="auto" w:sz="4" w:space="0"/>
            </w:tcBorders>
            <w:vAlign w:val="center"/>
          </w:tcPr>
          <w:p>
            <w:pPr>
              <w:spacing w:line="360" w:lineRule="auto"/>
              <w:jc w:val="center"/>
              <w:rPr>
                <w:rFonts w:ascii="宋体"/>
              </w:rPr>
            </w:pPr>
            <w:r>
              <w:rPr>
                <w:rFonts w:hint="eastAsia" w:ascii="宋体"/>
              </w:rPr>
              <w:t>安徽中厨集团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959" w:type="dxa"/>
            <w:vAlign w:val="center"/>
          </w:tcPr>
          <w:p>
            <w:pPr>
              <w:spacing w:line="360" w:lineRule="auto"/>
              <w:jc w:val="center"/>
              <w:rPr>
                <w:rFonts w:ascii="宋体" w:hAnsi="宋体"/>
              </w:rPr>
            </w:pPr>
            <w:r>
              <w:rPr>
                <w:rFonts w:hint="eastAsia" w:ascii="宋体" w:hAnsi="宋体"/>
              </w:rPr>
              <w:t>6</w:t>
            </w:r>
          </w:p>
        </w:tc>
        <w:tc>
          <w:tcPr>
            <w:tcW w:w="2160" w:type="dxa"/>
            <w:tcBorders>
              <w:right w:val="single" w:color="auto" w:sz="4" w:space="0"/>
            </w:tcBorders>
            <w:vAlign w:val="center"/>
          </w:tcPr>
          <w:p>
            <w:pPr>
              <w:spacing w:line="360" w:lineRule="auto"/>
              <w:jc w:val="center"/>
              <w:rPr>
                <w:rFonts w:ascii="宋体"/>
              </w:rPr>
            </w:pPr>
            <w:r>
              <w:rPr>
                <w:rFonts w:hint="eastAsia" w:ascii="宋体" w:hAnsi="宋体"/>
              </w:rPr>
              <w:t>服装设计与工艺专业</w:t>
            </w:r>
          </w:p>
        </w:tc>
        <w:tc>
          <w:tcPr>
            <w:tcW w:w="1667" w:type="dxa"/>
            <w:tcBorders>
              <w:left w:val="single" w:color="auto" w:sz="4" w:space="0"/>
              <w:right w:val="single" w:color="auto" w:sz="4" w:space="0"/>
            </w:tcBorders>
            <w:vAlign w:val="center"/>
          </w:tcPr>
          <w:p>
            <w:pPr>
              <w:spacing w:line="360" w:lineRule="auto"/>
              <w:jc w:val="center"/>
              <w:rPr>
                <w:rFonts w:ascii="宋体"/>
              </w:rPr>
            </w:pPr>
            <w:r>
              <w:rPr>
                <w:rFonts w:ascii="宋体"/>
              </w:rPr>
              <w:t>1</w:t>
            </w:r>
          </w:p>
        </w:tc>
        <w:tc>
          <w:tcPr>
            <w:tcW w:w="3736" w:type="dxa"/>
            <w:tcBorders>
              <w:left w:val="single" w:color="auto" w:sz="4" w:space="0"/>
            </w:tcBorders>
            <w:vAlign w:val="center"/>
          </w:tcPr>
          <w:p>
            <w:pPr>
              <w:spacing w:line="360" w:lineRule="auto"/>
              <w:jc w:val="center"/>
              <w:rPr>
                <w:rFonts w:ascii="宋体"/>
              </w:rPr>
            </w:pPr>
            <w:r>
              <w:rPr>
                <w:rFonts w:hint="eastAsia" w:ascii="宋体"/>
              </w:rPr>
              <w:t>资中县中小学生服装厂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959" w:type="dxa"/>
            <w:vAlign w:val="center"/>
          </w:tcPr>
          <w:p>
            <w:pPr>
              <w:spacing w:line="360" w:lineRule="auto"/>
              <w:jc w:val="center"/>
              <w:rPr>
                <w:rFonts w:ascii="宋体" w:hAnsi="宋体"/>
              </w:rPr>
            </w:pPr>
            <w:r>
              <w:rPr>
                <w:rFonts w:hint="eastAsia" w:ascii="宋体" w:hAnsi="宋体"/>
              </w:rPr>
              <w:t>7</w:t>
            </w:r>
          </w:p>
        </w:tc>
        <w:tc>
          <w:tcPr>
            <w:tcW w:w="2160" w:type="dxa"/>
            <w:tcBorders>
              <w:right w:val="single" w:color="auto" w:sz="4" w:space="0"/>
            </w:tcBorders>
            <w:vAlign w:val="center"/>
          </w:tcPr>
          <w:p>
            <w:pPr>
              <w:spacing w:line="360" w:lineRule="auto"/>
              <w:jc w:val="center"/>
              <w:rPr>
                <w:rFonts w:ascii="宋体"/>
              </w:rPr>
            </w:pPr>
            <w:r>
              <w:rPr>
                <w:rFonts w:hint="eastAsia" w:ascii="宋体" w:hAnsi="宋体"/>
              </w:rPr>
              <w:t>汽车应用与维修专业</w:t>
            </w:r>
          </w:p>
        </w:tc>
        <w:tc>
          <w:tcPr>
            <w:tcW w:w="1667" w:type="dxa"/>
            <w:tcBorders>
              <w:left w:val="single" w:color="auto" w:sz="4" w:space="0"/>
              <w:right w:val="single" w:color="auto" w:sz="4" w:space="0"/>
            </w:tcBorders>
            <w:vAlign w:val="center"/>
          </w:tcPr>
          <w:p>
            <w:pPr>
              <w:spacing w:line="360" w:lineRule="auto"/>
              <w:jc w:val="center"/>
              <w:rPr>
                <w:rFonts w:ascii="宋体"/>
              </w:rPr>
            </w:pPr>
            <w:r>
              <w:rPr>
                <w:rFonts w:hint="eastAsia" w:ascii="宋体"/>
              </w:rPr>
              <w:t>4</w:t>
            </w:r>
          </w:p>
        </w:tc>
        <w:tc>
          <w:tcPr>
            <w:tcW w:w="3736" w:type="dxa"/>
            <w:tcBorders>
              <w:left w:val="single" w:color="auto" w:sz="4" w:space="0"/>
            </w:tcBorders>
            <w:vAlign w:val="center"/>
          </w:tcPr>
          <w:p>
            <w:pPr>
              <w:jc w:val="center"/>
              <w:rPr>
                <w:szCs w:val="21"/>
              </w:rPr>
            </w:pPr>
            <w:r>
              <w:rPr>
                <w:rFonts w:hint="eastAsia"/>
                <w:szCs w:val="21"/>
              </w:rPr>
              <w:t>上海大众联盛宁波分厂</w:t>
            </w:r>
          </w:p>
          <w:p>
            <w:pPr>
              <w:jc w:val="center"/>
              <w:rPr>
                <w:szCs w:val="21"/>
              </w:rPr>
            </w:pPr>
            <w:r>
              <w:rPr>
                <w:rFonts w:hint="eastAsia"/>
                <w:szCs w:val="21"/>
              </w:rPr>
              <w:t>深圳风向标教育资源股份有限公司</w:t>
            </w:r>
          </w:p>
          <w:p>
            <w:pPr>
              <w:jc w:val="center"/>
              <w:rPr>
                <w:rFonts w:ascii="宋体" w:cs="宋体"/>
                <w:szCs w:val="21"/>
              </w:rPr>
            </w:pPr>
            <w:r>
              <w:rPr>
                <w:rFonts w:hint="eastAsia"/>
                <w:szCs w:val="21"/>
              </w:rPr>
              <w:t>四川鸿昶海龙教育科技有限公司成都汽车维修联盟产教融合中心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3119" w:type="dxa"/>
            <w:gridSpan w:val="2"/>
            <w:tcBorders>
              <w:right w:val="single" w:color="auto" w:sz="4" w:space="0"/>
            </w:tcBorders>
            <w:vAlign w:val="center"/>
          </w:tcPr>
          <w:p>
            <w:pPr>
              <w:spacing w:line="360" w:lineRule="auto"/>
              <w:jc w:val="center"/>
              <w:rPr>
                <w:rFonts w:ascii="宋体"/>
              </w:rPr>
            </w:pPr>
            <w:r>
              <w:rPr>
                <w:rFonts w:hint="eastAsia" w:ascii="宋体" w:hAnsi="宋体"/>
              </w:rPr>
              <w:t>合计</w:t>
            </w:r>
          </w:p>
        </w:tc>
        <w:tc>
          <w:tcPr>
            <w:tcW w:w="1667" w:type="dxa"/>
            <w:tcBorders>
              <w:left w:val="single" w:color="auto" w:sz="4" w:space="0"/>
              <w:right w:val="single" w:color="auto" w:sz="4" w:space="0"/>
            </w:tcBorders>
            <w:vAlign w:val="center"/>
          </w:tcPr>
          <w:p>
            <w:pPr>
              <w:spacing w:line="360" w:lineRule="auto"/>
              <w:jc w:val="center"/>
              <w:rPr>
                <w:rFonts w:ascii="宋体"/>
              </w:rPr>
            </w:pPr>
            <w:r>
              <w:rPr>
                <w:rFonts w:hint="eastAsia" w:ascii="宋体"/>
              </w:rPr>
              <w:t>10</w:t>
            </w:r>
          </w:p>
        </w:tc>
        <w:tc>
          <w:tcPr>
            <w:tcW w:w="3736" w:type="dxa"/>
            <w:tcBorders>
              <w:left w:val="single" w:color="auto" w:sz="4" w:space="0"/>
            </w:tcBorders>
            <w:vAlign w:val="center"/>
          </w:tcPr>
          <w:p>
            <w:pPr>
              <w:spacing w:line="360" w:lineRule="auto"/>
              <w:jc w:val="center"/>
              <w:rPr>
                <w:rFonts w:ascii="宋体"/>
              </w:rPr>
            </w:pPr>
          </w:p>
        </w:tc>
      </w:tr>
    </w:tbl>
    <w:p>
      <w:pPr>
        <w:spacing w:before="156" w:beforeLines="50" w:line="360" w:lineRule="auto"/>
        <w:ind w:firstLine="562" w:firstLineChars="200"/>
        <w:rPr>
          <w:rFonts w:asciiTheme="minorEastAsia" w:hAnsiTheme="minorEastAsia" w:eastAsiaTheme="minorEastAsia"/>
          <w:b/>
          <w:sz w:val="28"/>
          <w:szCs w:val="28"/>
        </w:rPr>
      </w:pPr>
      <w:r>
        <w:rPr>
          <w:rFonts w:asciiTheme="minorEastAsia" w:hAnsiTheme="minorEastAsia" w:eastAsiaTheme="minorEastAsia"/>
          <w:b/>
          <w:sz w:val="28"/>
          <w:szCs w:val="28"/>
        </w:rPr>
        <w:t>3</w:t>
      </w:r>
      <w:r>
        <w:rPr>
          <w:rFonts w:hint="eastAsia" w:asciiTheme="minorEastAsia" w:hAnsiTheme="minorEastAsia" w:eastAsiaTheme="minorEastAsia"/>
          <w:b/>
          <w:sz w:val="28"/>
          <w:szCs w:val="28"/>
        </w:rPr>
        <w:t>.图书和期刊</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图书馆纸质图书藏书量85126册，生均纸质图书达到39.36册，学校图书馆阅览室座位数有20</w:t>
      </w:r>
      <w:r>
        <w:rPr>
          <w:rFonts w:asciiTheme="minorEastAsia" w:hAnsiTheme="minorEastAsia" w:eastAsiaTheme="minorEastAsia"/>
          <w:sz w:val="24"/>
          <w:szCs w:val="24"/>
        </w:rPr>
        <w:t>0</w:t>
      </w:r>
      <w:r>
        <w:rPr>
          <w:rFonts w:hint="eastAsia" w:asciiTheme="minorEastAsia" w:hAnsiTheme="minorEastAsia" w:eastAsiaTheme="minorEastAsia"/>
          <w:sz w:val="24"/>
          <w:szCs w:val="24"/>
        </w:rPr>
        <w:t>个，订阅期刊68种，订阅报纸</w:t>
      </w:r>
      <w:r>
        <w:rPr>
          <w:rFonts w:asciiTheme="minorEastAsia" w:hAnsiTheme="minorEastAsia" w:eastAsiaTheme="minorEastAsia"/>
          <w:sz w:val="24"/>
          <w:szCs w:val="24"/>
        </w:rPr>
        <w:t>12</w:t>
      </w:r>
      <w:r>
        <w:rPr>
          <w:rFonts w:hint="eastAsia" w:asciiTheme="minorEastAsia" w:hAnsiTheme="minorEastAsia" w:eastAsiaTheme="minorEastAsia"/>
          <w:sz w:val="24"/>
          <w:szCs w:val="24"/>
        </w:rPr>
        <w:t>种，电子图书3.5万册。</w:t>
      </w:r>
    </w:p>
    <w:p>
      <w:pPr>
        <w:spacing w:before="156" w:beforeLines="50" w:line="360" w:lineRule="auto"/>
        <w:jc w:val="center"/>
        <w:rPr>
          <w:szCs w:val="21"/>
        </w:rPr>
      </w:pPr>
      <w:r>
        <w:rPr>
          <w:rFonts w:hint="eastAsia"/>
          <w:szCs w:val="21"/>
        </w:rPr>
        <w:t>表1-6</w:t>
      </w:r>
      <w:r>
        <w:rPr>
          <w:szCs w:val="21"/>
        </w:rPr>
        <w:t xml:space="preserve">  </w:t>
      </w:r>
      <w:r>
        <w:rPr>
          <w:rFonts w:hint="eastAsia"/>
          <w:szCs w:val="21"/>
        </w:rPr>
        <w:t>图书基本情况表</w:t>
      </w:r>
    </w:p>
    <w:tbl>
      <w:tblPr>
        <w:tblStyle w:val="30"/>
        <w:tblW w:w="748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2352"/>
        <w:gridCol w:w="1267"/>
        <w:gridCol w:w="2533"/>
        <w:gridCol w:w="13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rPr>
            </w:pPr>
            <w:r>
              <w:rPr>
                <w:rFonts w:hint="eastAsia" w:ascii="宋体" w:hAnsi="宋体"/>
              </w:rPr>
              <w:t>藏书总量(万册)</w:t>
            </w:r>
          </w:p>
        </w:tc>
        <w:tc>
          <w:tcPr>
            <w:tcW w:w="126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rPr>
            </w:pPr>
            <w:r>
              <w:rPr>
                <w:rFonts w:hint="eastAsia" w:ascii="宋体" w:hAnsi="宋体"/>
              </w:rPr>
              <w:t>8.5126</w:t>
            </w:r>
          </w:p>
        </w:tc>
        <w:tc>
          <w:tcPr>
            <w:tcW w:w="25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rPr>
            </w:pPr>
            <w:r>
              <w:rPr>
                <w:rFonts w:hint="eastAsia" w:ascii="宋体" w:hAnsi="宋体"/>
              </w:rPr>
              <w:t>其中电子读物(万册)</w:t>
            </w:r>
          </w:p>
        </w:tc>
        <w:tc>
          <w:tcPr>
            <w:tcW w:w="1334" w:type="dxa"/>
            <w:tcBorders>
              <w:top w:val="single" w:color="auto" w:sz="6" w:space="0"/>
              <w:left w:val="single" w:color="auto" w:sz="6" w:space="0"/>
              <w:bottom w:val="single" w:color="auto" w:sz="6" w:space="0"/>
              <w:right w:val="single" w:color="auto" w:sz="8" w:space="0"/>
            </w:tcBorders>
            <w:vAlign w:val="center"/>
          </w:tcPr>
          <w:p>
            <w:pPr>
              <w:spacing w:line="360" w:lineRule="auto"/>
              <w:jc w:val="center"/>
              <w:rPr>
                <w:rFonts w:ascii="宋体" w:hAnsi="宋体"/>
              </w:rPr>
            </w:pPr>
            <w:r>
              <w:rPr>
                <w:rFonts w:hint="eastAsia" w:ascii="宋体" w:hAnsi="宋体"/>
              </w:rPr>
              <w:t>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rPr>
            </w:pPr>
            <w:r>
              <w:rPr>
                <w:rFonts w:hint="eastAsia" w:ascii="宋体" w:hAnsi="宋体"/>
              </w:rPr>
              <w:t>报纸(种)</w:t>
            </w:r>
          </w:p>
        </w:tc>
        <w:tc>
          <w:tcPr>
            <w:tcW w:w="126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rPr>
            </w:pPr>
            <w:r>
              <w:rPr>
                <w:rFonts w:hint="eastAsia" w:ascii="宋体" w:hAnsi="宋体"/>
              </w:rPr>
              <w:t>12</w:t>
            </w:r>
          </w:p>
        </w:tc>
        <w:tc>
          <w:tcPr>
            <w:tcW w:w="25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rPr>
            </w:pPr>
            <w:r>
              <w:rPr>
                <w:rFonts w:hint="eastAsia" w:ascii="宋体" w:hAnsi="宋体"/>
              </w:rPr>
              <w:t>期刊(种)</w:t>
            </w:r>
          </w:p>
        </w:tc>
        <w:tc>
          <w:tcPr>
            <w:tcW w:w="1334" w:type="dxa"/>
            <w:tcBorders>
              <w:top w:val="single" w:color="auto" w:sz="6" w:space="0"/>
              <w:left w:val="single" w:color="auto" w:sz="6" w:space="0"/>
              <w:bottom w:val="single" w:color="auto" w:sz="6" w:space="0"/>
              <w:right w:val="single" w:color="auto" w:sz="8" w:space="0"/>
            </w:tcBorders>
            <w:vAlign w:val="center"/>
          </w:tcPr>
          <w:p>
            <w:pPr>
              <w:spacing w:line="360" w:lineRule="auto"/>
              <w:jc w:val="center"/>
              <w:rPr>
                <w:rFonts w:ascii="宋体" w:hAnsi="宋体"/>
              </w:rPr>
            </w:pPr>
            <w:r>
              <w:rPr>
                <w:rFonts w:hint="eastAsia" w:ascii="宋体" w:hAnsi="宋体"/>
              </w:rPr>
              <w:t>68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rPr>
            </w:pPr>
            <w:r>
              <w:rPr>
                <w:rFonts w:hint="eastAsia" w:ascii="宋体" w:hAnsi="宋体"/>
              </w:rPr>
              <w:t>阅览室座位(个)</w:t>
            </w:r>
          </w:p>
        </w:tc>
        <w:tc>
          <w:tcPr>
            <w:tcW w:w="126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rPr>
            </w:pPr>
            <w:r>
              <w:rPr>
                <w:rFonts w:hint="eastAsia" w:ascii="宋体" w:hAnsi="宋体"/>
              </w:rPr>
              <w:t>200</w:t>
            </w:r>
          </w:p>
        </w:tc>
        <w:tc>
          <w:tcPr>
            <w:tcW w:w="253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rPr>
            </w:pPr>
            <w:r>
              <w:rPr>
                <w:rFonts w:hint="eastAsia" w:ascii="宋体" w:hAnsi="宋体"/>
              </w:rPr>
              <w:t>电子阅览室计算机(台)</w:t>
            </w:r>
          </w:p>
        </w:tc>
        <w:tc>
          <w:tcPr>
            <w:tcW w:w="1334" w:type="dxa"/>
            <w:tcBorders>
              <w:top w:val="single" w:color="auto" w:sz="6" w:space="0"/>
              <w:left w:val="single" w:color="auto" w:sz="6" w:space="0"/>
              <w:bottom w:val="single" w:color="auto" w:sz="6" w:space="0"/>
              <w:right w:val="single" w:color="auto" w:sz="8" w:space="0"/>
            </w:tcBorders>
            <w:vAlign w:val="center"/>
          </w:tcPr>
          <w:p>
            <w:pPr>
              <w:spacing w:line="360" w:lineRule="auto"/>
              <w:jc w:val="center"/>
              <w:rPr>
                <w:rFonts w:ascii="宋体" w:hAnsi="宋体"/>
              </w:rPr>
            </w:pPr>
            <w:r>
              <w:rPr>
                <w:rFonts w:hint="eastAsia" w:ascii="宋体" w:hAnsi="宋体"/>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52" w:type="dxa"/>
            <w:tcBorders>
              <w:top w:val="single" w:color="auto" w:sz="6" w:space="0"/>
              <w:left w:val="single" w:color="auto" w:sz="6" w:space="0"/>
              <w:bottom w:val="single" w:color="auto" w:sz="8" w:space="0"/>
              <w:right w:val="single" w:color="auto" w:sz="6" w:space="0"/>
            </w:tcBorders>
            <w:vAlign w:val="center"/>
          </w:tcPr>
          <w:p>
            <w:pPr>
              <w:spacing w:line="360" w:lineRule="auto"/>
              <w:jc w:val="center"/>
              <w:rPr>
                <w:rFonts w:ascii="宋体" w:hAnsi="宋体"/>
              </w:rPr>
            </w:pPr>
            <w:r>
              <w:rPr>
                <w:rFonts w:hint="eastAsia" w:ascii="宋体" w:hAnsi="宋体"/>
              </w:rPr>
              <w:t>生均纸质图书</w:t>
            </w:r>
          </w:p>
        </w:tc>
        <w:tc>
          <w:tcPr>
            <w:tcW w:w="1267" w:type="dxa"/>
            <w:tcBorders>
              <w:top w:val="single" w:color="auto" w:sz="6" w:space="0"/>
              <w:left w:val="single" w:color="auto" w:sz="6" w:space="0"/>
              <w:bottom w:val="single" w:color="auto" w:sz="8" w:space="0"/>
              <w:right w:val="single" w:color="auto" w:sz="6" w:space="0"/>
            </w:tcBorders>
            <w:vAlign w:val="center"/>
          </w:tcPr>
          <w:p>
            <w:pPr>
              <w:spacing w:line="360" w:lineRule="auto"/>
              <w:jc w:val="center"/>
              <w:rPr>
                <w:rFonts w:ascii="宋体" w:hAnsi="宋体"/>
              </w:rPr>
            </w:pPr>
            <w:r>
              <w:rPr>
                <w:rFonts w:hint="eastAsia" w:ascii="宋体" w:hAnsi="宋体"/>
              </w:rPr>
              <w:t>23.17</w:t>
            </w:r>
          </w:p>
        </w:tc>
        <w:tc>
          <w:tcPr>
            <w:tcW w:w="2533" w:type="dxa"/>
            <w:tcBorders>
              <w:top w:val="single" w:color="auto" w:sz="6" w:space="0"/>
              <w:left w:val="single" w:color="auto" w:sz="6" w:space="0"/>
              <w:bottom w:val="single" w:color="auto" w:sz="8" w:space="0"/>
              <w:right w:val="single" w:color="auto" w:sz="6" w:space="0"/>
            </w:tcBorders>
            <w:vAlign w:val="center"/>
          </w:tcPr>
          <w:p>
            <w:pPr>
              <w:spacing w:line="360" w:lineRule="auto"/>
              <w:jc w:val="center"/>
              <w:rPr>
                <w:rFonts w:ascii="宋体" w:hAnsi="宋体"/>
              </w:rPr>
            </w:pPr>
          </w:p>
        </w:tc>
        <w:tc>
          <w:tcPr>
            <w:tcW w:w="1334" w:type="dxa"/>
            <w:tcBorders>
              <w:top w:val="single" w:color="auto" w:sz="6" w:space="0"/>
              <w:left w:val="single" w:color="auto" w:sz="6" w:space="0"/>
              <w:bottom w:val="single" w:color="auto" w:sz="8" w:space="0"/>
              <w:right w:val="single" w:color="auto" w:sz="8" w:space="0"/>
            </w:tcBorders>
            <w:vAlign w:val="center"/>
          </w:tcPr>
          <w:p>
            <w:pPr>
              <w:spacing w:line="360" w:lineRule="auto"/>
              <w:jc w:val="center"/>
              <w:rPr>
                <w:rFonts w:ascii="宋体" w:hAnsi="宋体"/>
              </w:rPr>
            </w:pPr>
          </w:p>
        </w:tc>
      </w:tr>
    </w:tbl>
    <w:p>
      <w:pPr>
        <w:spacing w:before="156" w:beforeLines="50" w:line="360" w:lineRule="auto"/>
        <w:ind w:firstLine="562" w:firstLineChars="200"/>
        <w:rPr>
          <w:rFonts w:asciiTheme="minorEastAsia" w:hAnsiTheme="minorEastAsia" w:eastAsiaTheme="minorEastAsia"/>
          <w:b/>
          <w:sz w:val="28"/>
          <w:szCs w:val="28"/>
        </w:rPr>
      </w:pPr>
      <w:r>
        <w:rPr>
          <w:rFonts w:asciiTheme="minorEastAsia" w:hAnsiTheme="minorEastAsia" w:eastAsiaTheme="minorEastAsia"/>
          <w:b/>
          <w:sz w:val="28"/>
          <w:szCs w:val="28"/>
        </w:rPr>
        <w:t>4</w:t>
      </w:r>
      <w:r>
        <w:rPr>
          <w:rFonts w:hint="eastAsia" w:asciiTheme="minorEastAsia" w:hAnsiTheme="minorEastAsia" w:eastAsiaTheme="minorEastAsia"/>
          <w:b/>
          <w:sz w:val="28"/>
          <w:szCs w:val="28"/>
        </w:rPr>
        <w:t>.信息化建设</w:t>
      </w:r>
    </w:p>
    <w:p>
      <w:pPr>
        <w:spacing w:before="156" w:beforeLines="50" w:line="360" w:lineRule="auto"/>
        <w:ind w:firstLine="480" w:firstLineChars="200"/>
        <w:jc w:val="left"/>
        <w:rPr>
          <w:rFonts w:asciiTheme="minorEastAsia" w:hAnsiTheme="minorEastAsia" w:eastAsiaTheme="minorEastAsia"/>
          <w:sz w:val="24"/>
          <w:szCs w:val="24"/>
        </w:rPr>
      </w:pPr>
      <w:bookmarkStart w:id="10" w:name="_Toc501482406"/>
      <w:r>
        <w:rPr>
          <w:rFonts w:hint="eastAsia" w:asciiTheme="minorEastAsia" w:hAnsiTheme="minorEastAsia" w:eastAsiaTheme="minorEastAsia"/>
          <w:sz w:val="24"/>
          <w:szCs w:val="24"/>
        </w:rPr>
        <w:t>学校共有各类品牌电脑1045台，其中教学用计算机台数856台，占比达到82%，学校建成20个计算机教学机房，77间多媒体教室，为全校师生学习计算机信息技术搭建良好基础平台。</w:t>
      </w:r>
    </w:p>
    <w:p>
      <w:pPr>
        <w:spacing w:before="156" w:beforeLines="50" w:line="360" w:lineRule="auto"/>
        <w:ind w:firstLine="480" w:firstLineChars="200"/>
        <w:jc w:val="left"/>
        <w:rPr>
          <w:rFonts w:asciiTheme="minorEastAsia" w:hAnsiTheme="minorEastAsia" w:eastAsiaTheme="minorEastAsia"/>
          <w:sz w:val="24"/>
          <w:szCs w:val="24"/>
        </w:rPr>
      </w:pPr>
      <w:r>
        <w:rPr>
          <w:rFonts w:asciiTheme="minorEastAsia" w:hAnsiTheme="minorEastAsia" w:eastAsiaTheme="minorEastAsia"/>
          <w:sz w:val="24"/>
          <w:szCs w:val="24"/>
        </w:rPr>
        <w:t>学校重点加强数字化校园投入，推进智慧校园建</w:t>
      </w:r>
      <w:r>
        <w:rPr>
          <w:rFonts w:hint="eastAsia" w:asciiTheme="minorEastAsia" w:hAnsiTheme="minorEastAsia" w:eastAsiaTheme="minorEastAsia"/>
          <w:sz w:val="24"/>
          <w:szCs w:val="24"/>
        </w:rPr>
        <w:t>设，继 2017 年投资 110万元进行信息化建设后，2019年投入资金330万元进行数字化校园建设，建成了综合管理系统平台、协同办公系统、更新了学校门户网站、建立了教务管理系统，信息快捷化提高了学校的管理水平，为教育教学提供强有力的保障。</w:t>
      </w:r>
    </w:p>
    <w:p>
      <w:pPr>
        <w:widowControl/>
        <w:spacing w:before="156" w:beforeLines="50"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对网络进行改造升级，建成了网控中心，实现了校园办公、教学、管理智能化，校园网络实现有线、无线全覆盖，校园网络出口总带宽达 1200（Mbps）， 校园网主干宽带达 1000（Mbps）。全校所有教室均连入校园网或中国电信班班通，教室安装了多功能教学一体机或交互式电子白板，100%的教室具有多媒体教学功能。</w:t>
      </w:r>
    </w:p>
    <w:p>
      <w:pPr>
        <w:spacing w:before="156" w:beforeLines="50" w:line="360" w:lineRule="auto"/>
        <w:jc w:val="center"/>
        <w:rPr>
          <w:szCs w:val="21"/>
        </w:rPr>
      </w:pPr>
      <w:r>
        <w:rPr>
          <w:rFonts w:hint="eastAsia"/>
          <w:szCs w:val="21"/>
        </w:rPr>
        <w:t>表1-7  校园信息化建设状况统计表</w:t>
      </w:r>
    </w:p>
    <w:tbl>
      <w:tblPr>
        <w:tblStyle w:val="31"/>
        <w:tblpPr w:leftFromText="180" w:rightFromText="180" w:vertAnchor="text" w:horzAnchor="margin" w:tblpXSpec="center" w:tblpY="83"/>
        <w:tblOverlap w:val="never"/>
        <w:tblW w:w="8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1"/>
        <w:gridCol w:w="1395"/>
        <w:gridCol w:w="3225"/>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181" w:type="dxa"/>
            <w:vAlign w:val="center"/>
          </w:tcPr>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计算机总数（台）</w:t>
            </w:r>
          </w:p>
        </w:tc>
        <w:tc>
          <w:tcPr>
            <w:tcW w:w="13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1045</w:t>
            </w:r>
          </w:p>
        </w:tc>
        <w:tc>
          <w:tcPr>
            <w:tcW w:w="3225" w:type="dxa"/>
            <w:vAlign w:val="center"/>
          </w:tcPr>
          <w:p>
            <w:pPr>
              <w:spacing w:line="360" w:lineRule="auto"/>
              <w:ind w:firstLine="243" w:firstLineChars="116"/>
              <w:rPr>
                <w:rFonts w:asciiTheme="minorEastAsia" w:hAnsiTheme="minorEastAsia" w:eastAsiaTheme="minorEastAsia"/>
                <w:szCs w:val="21"/>
              </w:rPr>
            </w:pPr>
            <w:r>
              <w:rPr>
                <w:rFonts w:hint="eastAsia" w:asciiTheme="minorEastAsia" w:hAnsiTheme="minorEastAsia" w:eastAsiaTheme="minorEastAsia"/>
                <w:szCs w:val="21"/>
              </w:rPr>
              <w:t>多媒体教室数（个）</w:t>
            </w:r>
          </w:p>
        </w:tc>
        <w:tc>
          <w:tcPr>
            <w:tcW w:w="7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181" w:type="dxa"/>
            <w:vAlign w:val="center"/>
          </w:tcPr>
          <w:p>
            <w:pPr>
              <w:spacing w:line="360" w:lineRule="auto"/>
              <w:ind w:firstLine="480"/>
              <w:rPr>
                <w:rFonts w:asciiTheme="minorEastAsia" w:hAnsiTheme="minorEastAsia" w:eastAsiaTheme="minorEastAsia"/>
                <w:szCs w:val="21"/>
              </w:rPr>
            </w:pPr>
            <w:r>
              <w:rPr>
                <w:rFonts w:hint="eastAsia" w:asciiTheme="minorEastAsia" w:hAnsiTheme="minorEastAsia" w:eastAsiaTheme="minorEastAsia"/>
                <w:szCs w:val="21"/>
              </w:rPr>
              <w:t>学生用计算机 （台）</w:t>
            </w:r>
          </w:p>
        </w:tc>
        <w:tc>
          <w:tcPr>
            <w:tcW w:w="13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856</w:t>
            </w:r>
          </w:p>
        </w:tc>
        <w:tc>
          <w:tcPr>
            <w:tcW w:w="3225" w:type="dxa"/>
            <w:vAlign w:val="center"/>
          </w:tcPr>
          <w:p>
            <w:pPr>
              <w:spacing w:line="360" w:lineRule="auto"/>
              <w:ind w:firstLine="243" w:firstLineChars="116"/>
              <w:rPr>
                <w:rFonts w:asciiTheme="minorEastAsia" w:hAnsiTheme="minorEastAsia" w:eastAsiaTheme="minorEastAsia"/>
                <w:szCs w:val="21"/>
              </w:rPr>
            </w:pPr>
            <w:r>
              <w:rPr>
                <w:rFonts w:hint="eastAsia" w:asciiTheme="minorEastAsia" w:hAnsiTheme="minorEastAsia" w:eastAsiaTheme="minorEastAsia"/>
                <w:szCs w:val="21"/>
              </w:rPr>
              <w:t>数字化教学资源问题（TB)</w:t>
            </w:r>
          </w:p>
        </w:tc>
        <w:tc>
          <w:tcPr>
            <w:tcW w:w="7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181" w:type="dxa"/>
            <w:vAlign w:val="center"/>
          </w:tcPr>
          <w:p>
            <w:pPr>
              <w:spacing w:line="360" w:lineRule="auto"/>
              <w:ind w:firstLine="480"/>
              <w:rPr>
                <w:rFonts w:asciiTheme="minorEastAsia" w:hAnsiTheme="minorEastAsia" w:eastAsiaTheme="minorEastAsia"/>
                <w:szCs w:val="21"/>
              </w:rPr>
            </w:pPr>
            <w:r>
              <w:rPr>
                <w:rFonts w:hint="eastAsia" w:asciiTheme="minorEastAsia" w:hAnsiTheme="minorEastAsia" w:eastAsiaTheme="minorEastAsia"/>
                <w:szCs w:val="21"/>
              </w:rPr>
              <w:t>教学用计算机（台）</w:t>
            </w:r>
          </w:p>
        </w:tc>
        <w:tc>
          <w:tcPr>
            <w:tcW w:w="13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856</w:t>
            </w:r>
          </w:p>
        </w:tc>
        <w:tc>
          <w:tcPr>
            <w:tcW w:w="3225" w:type="dxa"/>
            <w:vAlign w:val="center"/>
          </w:tcPr>
          <w:p>
            <w:pPr>
              <w:spacing w:line="360" w:lineRule="auto"/>
              <w:ind w:firstLine="243" w:firstLineChars="116"/>
              <w:rPr>
                <w:rFonts w:asciiTheme="minorEastAsia" w:hAnsiTheme="minorEastAsia" w:eastAsiaTheme="minorEastAsia"/>
                <w:szCs w:val="21"/>
              </w:rPr>
            </w:pPr>
            <w:r>
              <w:rPr>
                <w:rFonts w:hint="eastAsia" w:asciiTheme="minorEastAsia" w:hAnsiTheme="minorEastAsia" w:eastAsiaTheme="minorEastAsia"/>
                <w:szCs w:val="21"/>
              </w:rPr>
              <w:t>信息化专职人员数（人 )</w:t>
            </w:r>
          </w:p>
        </w:tc>
        <w:tc>
          <w:tcPr>
            <w:tcW w:w="7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181" w:type="dxa"/>
            <w:vAlign w:val="center"/>
          </w:tcPr>
          <w:p>
            <w:pPr>
              <w:spacing w:line="360" w:lineRule="auto"/>
              <w:ind w:firstLine="480"/>
              <w:rPr>
                <w:rFonts w:asciiTheme="minorEastAsia" w:hAnsiTheme="minorEastAsia" w:eastAsiaTheme="minorEastAsia"/>
                <w:szCs w:val="21"/>
              </w:rPr>
            </w:pPr>
            <w:r>
              <w:rPr>
                <w:rFonts w:hint="eastAsia" w:asciiTheme="minorEastAsia" w:hAnsiTheme="minorEastAsia" w:eastAsiaTheme="minorEastAsia"/>
                <w:szCs w:val="21"/>
              </w:rPr>
              <w:t>生均计算机台数</w:t>
            </w:r>
          </w:p>
        </w:tc>
        <w:tc>
          <w:tcPr>
            <w:tcW w:w="13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39.8%</w:t>
            </w:r>
          </w:p>
        </w:tc>
        <w:tc>
          <w:tcPr>
            <w:tcW w:w="3225" w:type="dxa"/>
            <w:vAlign w:val="center"/>
          </w:tcPr>
          <w:p>
            <w:pPr>
              <w:spacing w:line="360" w:lineRule="auto"/>
              <w:ind w:firstLine="243" w:firstLineChars="116"/>
              <w:rPr>
                <w:rFonts w:asciiTheme="minorEastAsia" w:hAnsiTheme="minorEastAsia" w:eastAsiaTheme="minorEastAsia"/>
                <w:szCs w:val="21"/>
              </w:rPr>
            </w:pPr>
            <w:r>
              <w:rPr>
                <w:rFonts w:hint="eastAsia" w:asciiTheme="minorEastAsia" w:hAnsiTheme="minorEastAsia" w:eastAsiaTheme="minorEastAsia"/>
                <w:szCs w:val="21"/>
              </w:rPr>
              <w:t>学校门户网站（有/无）</w:t>
            </w:r>
          </w:p>
        </w:tc>
        <w:tc>
          <w:tcPr>
            <w:tcW w:w="7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181" w:type="dxa"/>
            <w:vAlign w:val="center"/>
          </w:tcPr>
          <w:p>
            <w:pPr>
              <w:spacing w:line="360" w:lineRule="auto"/>
              <w:ind w:firstLine="480"/>
              <w:rPr>
                <w:rFonts w:asciiTheme="minorEastAsia" w:hAnsiTheme="minorEastAsia" w:eastAsiaTheme="minorEastAsia"/>
                <w:szCs w:val="21"/>
              </w:rPr>
            </w:pPr>
            <w:r>
              <w:rPr>
                <w:rFonts w:hint="eastAsia" w:asciiTheme="minorEastAsia" w:hAnsiTheme="minorEastAsia" w:eastAsiaTheme="minorEastAsia"/>
                <w:szCs w:val="21"/>
              </w:rPr>
              <w:t>校园网出口总带宽（兆）</w:t>
            </w:r>
          </w:p>
        </w:tc>
        <w:tc>
          <w:tcPr>
            <w:tcW w:w="13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1200</w:t>
            </w:r>
          </w:p>
        </w:tc>
        <w:tc>
          <w:tcPr>
            <w:tcW w:w="3225" w:type="dxa"/>
            <w:vAlign w:val="center"/>
          </w:tcPr>
          <w:p>
            <w:pPr>
              <w:spacing w:line="360" w:lineRule="auto"/>
              <w:ind w:firstLine="243" w:firstLineChars="116"/>
              <w:rPr>
                <w:rFonts w:asciiTheme="minorEastAsia" w:hAnsiTheme="minorEastAsia" w:eastAsiaTheme="minorEastAsia"/>
                <w:szCs w:val="21"/>
              </w:rPr>
            </w:pPr>
            <w:r>
              <w:rPr>
                <w:rFonts w:hint="eastAsia" w:asciiTheme="minorEastAsia" w:hAnsiTheme="minorEastAsia" w:eastAsiaTheme="minorEastAsia"/>
                <w:szCs w:val="21"/>
              </w:rPr>
              <w:t>信息化管理平台（有/无）</w:t>
            </w:r>
          </w:p>
        </w:tc>
        <w:tc>
          <w:tcPr>
            <w:tcW w:w="7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181" w:type="dxa"/>
            <w:vAlign w:val="center"/>
          </w:tcPr>
          <w:p>
            <w:pPr>
              <w:spacing w:line="360" w:lineRule="auto"/>
              <w:ind w:firstLine="480"/>
              <w:rPr>
                <w:rFonts w:asciiTheme="minorEastAsia" w:hAnsiTheme="minorEastAsia" w:eastAsiaTheme="minorEastAsia"/>
                <w:szCs w:val="21"/>
              </w:rPr>
            </w:pPr>
            <w:r>
              <w:rPr>
                <w:rFonts w:hint="eastAsia" w:asciiTheme="minorEastAsia" w:hAnsiTheme="minorEastAsia" w:eastAsiaTheme="minorEastAsia"/>
                <w:szCs w:val="21"/>
              </w:rPr>
              <w:t>电子报刊（种）</w:t>
            </w:r>
          </w:p>
        </w:tc>
        <w:tc>
          <w:tcPr>
            <w:tcW w:w="13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13</w:t>
            </w:r>
          </w:p>
        </w:tc>
        <w:tc>
          <w:tcPr>
            <w:tcW w:w="3225" w:type="dxa"/>
            <w:vAlign w:val="center"/>
          </w:tcPr>
          <w:p>
            <w:pPr>
              <w:spacing w:line="360" w:lineRule="auto"/>
              <w:ind w:firstLine="243" w:firstLineChars="116"/>
              <w:rPr>
                <w:rFonts w:asciiTheme="minorEastAsia" w:hAnsiTheme="minorEastAsia" w:eastAsiaTheme="minorEastAsia"/>
                <w:szCs w:val="21"/>
              </w:rPr>
            </w:pPr>
            <w:r>
              <w:rPr>
                <w:rFonts w:hint="eastAsia" w:asciiTheme="minorEastAsia" w:hAnsiTheme="minorEastAsia" w:eastAsiaTheme="minorEastAsia"/>
                <w:szCs w:val="21"/>
              </w:rPr>
              <w:t>电子期刊（种)</w:t>
            </w:r>
          </w:p>
        </w:tc>
        <w:tc>
          <w:tcPr>
            <w:tcW w:w="7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181" w:type="dxa"/>
            <w:vAlign w:val="center"/>
          </w:tcPr>
          <w:p>
            <w:pPr>
              <w:spacing w:line="360" w:lineRule="auto"/>
              <w:ind w:firstLine="480"/>
              <w:rPr>
                <w:rFonts w:asciiTheme="minorEastAsia" w:hAnsiTheme="minorEastAsia" w:eastAsiaTheme="minorEastAsia"/>
                <w:szCs w:val="21"/>
              </w:rPr>
            </w:pPr>
            <w:r>
              <w:rPr>
                <w:rFonts w:hint="eastAsia" w:asciiTheme="minorEastAsia" w:hAnsiTheme="minorEastAsia" w:eastAsiaTheme="minorEastAsia"/>
                <w:szCs w:val="21"/>
              </w:rPr>
              <w:t>电子阅览室计算机（台）</w:t>
            </w:r>
          </w:p>
        </w:tc>
        <w:tc>
          <w:tcPr>
            <w:tcW w:w="13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100</w:t>
            </w:r>
          </w:p>
        </w:tc>
        <w:tc>
          <w:tcPr>
            <w:tcW w:w="3225" w:type="dxa"/>
            <w:vAlign w:val="center"/>
          </w:tcPr>
          <w:p>
            <w:pPr>
              <w:spacing w:line="360" w:lineRule="auto"/>
              <w:ind w:firstLine="243" w:firstLineChars="116"/>
              <w:rPr>
                <w:rFonts w:asciiTheme="minorEastAsia" w:hAnsiTheme="minorEastAsia" w:eastAsiaTheme="minorEastAsia"/>
                <w:szCs w:val="21"/>
              </w:rPr>
            </w:pPr>
            <w:r>
              <w:rPr>
                <w:rFonts w:hint="eastAsia" w:asciiTheme="minorEastAsia" w:hAnsiTheme="minorEastAsia" w:eastAsiaTheme="minorEastAsia"/>
                <w:szCs w:val="21"/>
              </w:rPr>
              <w:t>阅览室座位（个）</w:t>
            </w:r>
          </w:p>
        </w:tc>
        <w:tc>
          <w:tcPr>
            <w:tcW w:w="79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100</w:t>
            </w:r>
          </w:p>
        </w:tc>
      </w:tr>
    </w:tbl>
    <w:p>
      <w:pPr>
        <w:pStyle w:val="2"/>
        <w:spacing w:before="312" w:beforeLines="100" w:after="0"/>
        <w:rPr>
          <w:rFonts w:ascii="黑体" w:hAnsi="黑体" w:eastAsia="黑体"/>
          <w:sz w:val="30"/>
          <w:szCs w:val="30"/>
        </w:rPr>
      </w:pPr>
      <w:bookmarkStart w:id="11" w:name="_Toc29894693"/>
      <w:r>
        <w:rPr>
          <w:rFonts w:hint="eastAsia" w:ascii="黑体" w:hAnsi="黑体" w:eastAsia="黑体"/>
          <w:sz w:val="30"/>
          <w:szCs w:val="30"/>
        </w:rPr>
        <w:t>二、学生发展</w:t>
      </w:r>
      <w:bookmarkEnd w:id="10"/>
      <w:bookmarkEnd w:id="11"/>
    </w:p>
    <w:p>
      <w:pPr>
        <w:pStyle w:val="3"/>
        <w:spacing w:before="156" w:beforeLines="50" w:after="0"/>
        <w:rPr>
          <w:rFonts w:ascii="黑体" w:hAnsi="黑体" w:eastAsia="黑体"/>
          <w:sz w:val="28"/>
          <w:szCs w:val="28"/>
        </w:rPr>
      </w:pPr>
      <w:bookmarkStart w:id="12" w:name="_Toc29894694"/>
      <w:bookmarkStart w:id="13" w:name="_Toc501482407"/>
      <w:r>
        <w:rPr>
          <w:rFonts w:hint="eastAsia" w:ascii="黑体" w:hAnsi="黑体" w:eastAsia="黑体"/>
          <w:sz w:val="28"/>
          <w:szCs w:val="28"/>
        </w:rPr>
        <w:t>（一）学生素质</w:t>
      </w:r>
      <w:bookmarkEnd w:id="12"/>
      <w:bookmarkEnd w:id="13"/>
    </w:p>
    <w:p>
      <w:pPr>
        <w:spacing w:before="156" w:beforeLines="5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1.学生基本素质评价</w:t>
      </w:r>
    </w:p>
    <w:p>
      <w:pPr>
        <w:spacing w:before="156" w:beforeLines="5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学校学生报名参加职业资格鉴定的比例达100%。全校学生文化课合格率、专业技能合格率、体质测评合格率、毕业率、双证书获取率等评价指标良好见表2-1。</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表2-1  2018-2019学年学生基本素质评价指标</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20" w:type="dxa"/>
            <w:vAlign w:val="center"/>
          </w:tcPr>
          <w:p>
            <w:pPr>
              <w:jc w:val="center"/>
              <w:rPr>
                <w:rFonts w:ascii="Times New Roman" w:hAnsi="Times New Roman"/>
                <w:b/>
                <w:sz w:val="24"/>
                <w:szCs w:val="24"/>
              </w:rPr>
            </w:pPr>
            <w:r>
              <w:rPr>
                <w:rFonts w:hint="eastAsia" w:ascii="Times New Roman" w:hAnsi="Times New Roman"/>
                <w:b/>
                <w:sz w:val="24"/>
                <w:szCs w:val="24"/>
              </w:rPr>
              <w:t>学年</w:t>
            </w:r>
          </w:p>
        </w:tc>
        <w:tc>
          <w:tcPr>
            <w:tcW w:w="1420" w:type="dxa"/>
            <w:vAlign w:val="center"/>
          </w:tcPr>
          <w:p>
            <w:pPr>
              <w:jc w:val="center"/>
              <w:rPr>
                <w:rFonts w:ascii="Times New Roman" w:hAnsi="Times New Roman"/>
                <w:b/>
                <w:sz w:val="24"/>
                <w:szCs w:val="24"/>
              </w:rPr>
            </w:pPr>
            <w:r>
              <w:rPr>
                <w:rFonts w:hint="eastAsia" w:ascii="Times New Roman" w:hAnsi="Times New Roman"/>
                <w:b/>
                <w:sz w:val="24"/>
                <w:szCs w:val="24"/>
              </w:rPr>
              <w:t>文化课</w:t>
            </w:r>
          </w:p>
          <w:p>
            <w:pPr>
              <w:jc w:val="center"/>
              <w:rPr>
                <w:rFonts w:ascii="Times New Roman" w:hAnsi="Times New Roman"/>
                <w:b/>
                <w:sz w:val="24"/>
                <w:szCs w:val="24"/>
              </w:rPr>
            </w:pPr>
            <w:r>
              <w:rPr>
                <w:rFonts w:hint="eastAsia" w:ascii="Times New Roman" w:hAnsi="Times New Roman"/>
                <w:b/>
                <w:sz w:val="24"/>
                <w:szCs w:val="24"/>
              </w:rPr>
              <w:t>合格率</w:t>
            </w:r>
          </w:p>
        </w:tc>
        <w:tc>
          <w:tcPr>
            <w:tcW w:w="1420" w:type="dxa"/>
            <w:vAlign w:val="center"/>
          </w:tcPr>
          <w:p>
            <w:pPr>
              <w:jc w:val="center"/>
              <w:rPr>
                <w:rFonts w:ascii="Times New Roman" w:hAnsi="Times New Roman"/>
                <w:b/>
                <w:sz w:val="24"/>
                <w:szCs w:val="24"/>
              </w:rPr>
            </w:pPr>
            <w:r>
              <w:rPr>
                <w:rFonts w:hint="eastAsia" w:ascii="Times New Roman" w:hAnsi="Times New Roman"/>
                <w:b/>
                <w:sz w:val="24"/>
                <w:szCs w:val="24"/>
              </w:rPr>
              <w:t>专业技能</w:t>
            </w:r>
          </w:p>
          <w:p>
            <w:pPr>
              <w:jc w:val="center"/>
              <w:rPr>
                <w:rFonts w:ascii="Times New Roman" w:hAnsi="Times New Roman"/>
                <w:b/>
                <w:sz w:val="24"/>
                <w:szCs w:val="24"/>
              </w:rPr>
            </w:pPr>
            <w:r>
              <w:rPr>
                <w:rFonts w:hint="eastAsia" w:ascii="Times New Roman" w:hAnsi="Times New Roman"/>
                <w:b/>
                <w:sz w:val="24"/>
                <w:szCs w:val="24"/>
              </w:rPr>
              <w:t>合格率</w:t>
            </w:r>
          </w:p>
        </w:tc>
        <w:tc>
          <w:tcPr>
            <w:tcW w:w="1420" w:type="dxa"/>
            <w:vAlign w:val="center"/>
          </w:tcPr>
          <w:p>
            <w:pPr>
              <w:jc w:val="center"/>
              <w:rPr>
                <w:rFonts w:ascii="Times New Roman" w:hAnsi="Times New Roman"/>
                <w:b/>
                <w:sz w:val="24"/>
                <w:szCs w:val="24"/>
              </w:rPr>
            </w:pPr>
            <w:r>
              <w:rPr>
                <w:rFonts w:hint="eastAsia" w:ascii="Times New Roman" w:hAnsi="Times New Roman"/>
                <w:b/>
                <w:sz w:val="24"/>
                <w:szCs w:val="24"/>
              </w:rPr>
              <w:t>体质测评</w:t>
            </w:r>
          </w:p>
          <w:p>
            <w:pPr>
              <w:jc w:val="center"/>
              <w:rPr>
                <w:rFonts w:ascii="Times New Roman" w:hAnsi="Times New Roman"/>
                <w:b/>
                <w:sz w:val="24"/>
                <w:szCs w:val="24"/>
              </w:rPr>
            </w:pPr>
            <w:r>
              <w:rPr>
                <w:rFonts w:hint="eastAsia" w:ascii="Times New Roman" w:hAnsi="Times New Roman"/>
                <w:b/>
                <w:sz w:val="24"/>
                <w:szCs w:val="24"/>
              </w:rPr>
              <w:t>合格率</w:t>
            </w:r>
          </w:p>
        </w:tc>
        <w:tc>
          <w:tcPr>
            <w:tcW w:w="1421" w:type="dxa"/>
            <w:vAlign w:val="center"/>
          </w:tcPr>
          <w:p>
            <w:pPr>
              <w:jc w:val="center"/>
              <w:rPr>
                <w:rFonts w:ascii="Times New Roman" w:hAnsi="Times New Roman"/>
                <w:b/>
                <w:sz w:val="24"/>
                <w:szCs w:val="24"/>
              </w:rPr>
            </w:pPr>
            <w:r>
              <w:rPr>
                <w:rFonts w:hint="eastAsia" w:ascii="Times New Roman" w:hAnsi="Times New Roman"/>
                <w:b/>
                <w:sz w:val="24"/>
                <w:szCs w:val="24"/>
              </w:rPr>
              <w:t>双证书</w:t>
            </w:r>
          </w:p>
          <w:p>
            <w:pPr>
              <w:jc w:val="center"/>
              <w:rPr>
                <w:rFonts w:ascii="Times New Roman" w:hAnsi="Times New Roman"/>
                <w:b/>
                <w:sz w:val="24"/>
                <w:szCs w:val="24"/>
              </w:rPr>
            </w:pPr>
            <w:r>
              <w:rPr>
                <w:rFonts w:hint="eastAsia" w:ascii="Times New Roman" w:hAnsi="Times New Roman"/>
                <w:b/>
                <w:sz w:val="24"/>
                <w:szCs w:val="24"/>
              </w:rPr>
              <w:t>合格率</w:t>
            </w:r>
          </w:p>
        </w:tc>
        <w:tc>
          <w:tcPr>
            <w:tcW w:w="1421" w:type="dxa"/>
            <w:vAlign w:val="center"/>
          </w:tcPr>
          <w:p>
            <w:pPr>
              <w:jc w:val="center"/>
              <w:rPr>
                <w:rFonts w:ascii="Times New Roman" w:hAnsi="Times New Roman"/>
                <w:b/>
                <w:sz w:val="24"/>
                <w:szCs w:val="24"/>
              </w:rPr>
            </w:pPr>
            <w:r>
              <w:rPr>
                <w:rFonts w:hint="eastAsia" w:ascii="Times New Roman" w:hAnsi="Times New Roman"/>
                <w:b/>
                <w:sz w:val="24"/>
                <w:szCs w:val="24"/>
              </w:rPr>
              <w:t>毕业率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42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2018-2019</w:t>
            </w:r>
          </w:p>
        </w:tc>
        <w:tc>
          <w:tcPr>
            <w:tcW w:w="142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95.32</w:t>
            </w:r>
          </w:p>
        </w:tc>
        <w:tc>
          <w:tcPr>
            <w:tcW w:w="142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96.51</w:t>
            </w:r>
          </w:p>
        </w:tc>
        <w:tc>
          <w:tcPr>
            <w:tcW w:w="142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98.60</w:t>
            </w:r>
          </w:p>
        </w:tc>
        <w:tc>
          <w:tcPr>
            <w:tcW w:w="1421"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w:t>
            </w:r>
          </w:p>
        </w:tc>
        <w:tc>
          <w:tcPr>
            <w:tcW w:w="1421"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90.83</w:t>
            </w:r>
          </w:p>
        </w:tc>
      </w:tr>
    </w:tbl>
    <w:p>
      <w:pPr>
        <w:spacing w:before="156" w:beforeLines="5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2.学生参加技能竞赛</w:t>
      </w:r>
    </w:p>
    <w:p>
      <w:pPr>
        <w:spacing w:before="156" w:beforeLines="5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学生参加技能竞赛获奖情况统计见表2-2。</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表2-2  2018-2019学年学生参加各级技能竞赛获奖人数统计</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704"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级别</w:t>
            </w:r>
          </w:p>
        </w:tc>
        <w:tc>
          <w:tcPr>
            <w:tcW w:w="1704"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一等奖</w:t>
            </w:r>
          </w:p>
        </w:tc>
        <w:tc>
          <w:tcPr>
            <w:tcW w:w="1704"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二等奖</w:t>
            </w:r>
          </w:p>
        </w:tc>
        <w:tc>
          <w:tcPr>
            <w:tcW w:w="1705"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三等奖</w:t>
            </w:r>
          </w:p>
        </w:tc>
        <w:tc>
          <w:tcPr>
            <w:tcW w:w="1705"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优秀奖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704"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省级</w:t>
            </w:r>
          </w:p>
        </w:tc>
        <w:tc>
          <w:tcPr>
            <w:tcW w:w="1704" w:type="dxa"/>
            <w:vAlign w:val="center"/>
          </w:tcPr>
          <w:p>
            <w:pPr>
              <w:spacing w:line="360" w:lineRule="auto"/>
              <w:jc w:val="center"/>
              <w:rPr>
                <w:rFonts w:asciiTheme="majorEastAsia" w:hAnsiTheme="majorEastAsia" w:eastAsiaTheme="majorEastAsia"/>
                <w:szCs w:val="21"/>
              </w:rPr>
            </w:pPr>
          </w:p>
        </w:tc>
        <w:tc>
          <w:tcPr>
            <w:tcW w:w="1704"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2</w:t>
            </w:r>
          </w:p>
        </w:tc>
        <w:tc>
          <w:tcPr>
            <w:tcW w:w="170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w:t>
            </w:r>
          </w:p>
        </w:tc>
        <w:tc>
          <w:tcPr>
            <w:tcW w:w="1705" w:type="dxa"/>
            <w:vAlign w:val="center"/>
          </w:tcPr>
          <w:p>
            <w:pPr>
              <w:spacing w:line="360" w:lineRule="auto"/>
              <w:jc w:val="center"/>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704"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市级</w:t>
            </w:r>
          </w:p>
        </w:tc>
        <w:tc>
          <w:tcPr>
            <w:tcW w:w="1704"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2</w:t>
            </w:r>
          </w:p>
        </w:tc>
        <w:tc>
          <w:tcPr>
            <w:tcW w:w="1704"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9</w:t>
            </w:r>
          </w:p>
        </w:tc>
        <w:tc>
          <w:tcPr>
            <w:tcW w:w="170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15</w:t>
            </w:r>
          </w:p>
        </w:tc>
        <w:tc>
          <w:tcPr>
            <w:tcW w:w="1705" w:type="dxa"/>
            <w:vAlign w:val="center"/>
          </w:tcPr>
          <w:p>
            <w:pPr>
              <w:spacing w:line="360" w:lineRule="auto"/>
              <w:jc w:val="center"/>
              <w:rPr>
                <w:rFonts w:asciiTheme="majorEastAsia" w:hAnsiTheme="majorEastAsia" w:eastAsiaTheme="majorEastAsia"/>
                <w:szCs w:val="21"/>
              </w:rPr>
            </w:pPr>
          </w:p>
        </w:tc>
      </w:tr>
    </w:tbl>
    <w:p>
      <w:pPr>
        <w:pStyle w:val="3"/>
        <w:spacing w:before="156" w:beforeLines="50" w:after="0"/>
        <w:rPr>
          <w:rFonts w:ascii="黑体" w:hAnsi="黑体" w:eastAsia="黑体"/>
          <w:sz w:val="28"/>
          <w:szCs w:val="28"/>
        </w:rPr>
      </w:pPr>
      <w:bookmarkStart w:id="14" w:name="_Toc501482408"/>
      <w:bookmarkStart w:id="15" w:name="_Toc29894695"/>
      <w:r>
        <w:rPr>
          <w:rFonts w:hint="eastAsia" w:ascii="黑体" w:hAnsi="黑体" w:eastAsia="黑体"/>
          <w:sz w:val="28"/>
          <w:szCs w:val="28"/>
        </w:rPr>
        <w:t>（二）在校体验</w:t>
      </w:r>
      <w:bookmarkEnd w:id="14"/>
      <w:bookmarkEnd w:id="15"/>
    </w:p>
    <w:p>
      <w:pPr>
        <w:spacing w:before="156" w:beforeLines="5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1.在校生满意度调研</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我校在2019年10月开展了在校生满意度调研，有931 位在校生参与调研，调研样本占到在校生总数的43.06％。在校生满意度统计见表2-3。</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表2-3  在校生满意度统计</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126"/>
        <w:gridCol w:w="2126"/>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35"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测评项目</w:t>
            </w:r>
          </w:p>
        </w:tc>
        <w:tc>
          <w:tcPr>
            <w:tcW w:w="2126"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满意（%）</w:t>
            </w:r>
          </w:p>
        </w:tc>
        <w:tc>
          <w:tcPr>
            <w:tcW w:w="2126"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基本满意（%）</w:t>
            </w:r>
          </w:p>
        </w:tc>
        <w:tc>
          <w:tcPr>
            <w:tcW w:w="2035"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理论学习</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61.9</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34.0</w:t>
            </w:r>
          </w:p>
        </w:tc>
        <w:tc>
          <w:tcPr>
            <w:tcW w:w="20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专业学习</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68.5</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28.4</w:t>
            </w:r>
          </w:p>
        </w:tc>
        <w:tc>
          <w:tcPr>
            <w:tcW w:w="20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实习实训</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61.0</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29.6</w:t>
            </w:r>
          </w:p>
        </w:tc>
        <w:tc>
          <w:tcPr>
            <w:tcW w:w="20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工学结合</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83.1</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19.2</w:t>
            </w:r>
          </w:p>
        </w:tc>
        <w:tc>
          <w:tcPr>
            <w:tcW w:w="20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社团活动</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55.2</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32.1</w:t>
            </w:r>
          </w:p>
        </w:tc>
        <w:tc>
          <w:tcPr>
            <w:tcW w:w="20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生活</w:t>
            </w:r>
          </w:p>
        </w:tc>
        <w:tc>
          <w:tcPr>
            <w:tcW w:w="2126" w:type="dxa"/>
            <w:tcBorders>
              <w:right w:val="single" w:color="auto" w:sz="4" w:space="0"/>
            </w:tcBorders>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47.8</w:t>
            </w:r>
          </w:p>
        </w:tc>
        <w:tc>
          <w:tcPr>
            <w:tcW w:w="2126" w:type="dxa"/>
            <w:tcBorders>
              <w:left w:val="single" w:color="auto" w:sz="4" w:space="0"/>
            </w:tcBorders>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35.9</w:t>
            </w:r>
          </w:p>
        </w:tc>
        <w:tc>
          <w:tcPr>
            <w:tcW w:w="2035" w:type="dxa"/>
            <w:vAlign w:val="center"/>
          </w:tcPr>
          <w:p>
            <w:pPr>
              <w:spacing w:line="360" w:lineRule="auto"/>
              <w:jc w:val="center"/>
              <w:rPr>
                <w:rFonts w:hint="eastAsia" w:asciiTheme="majorEastAsia" w:hAnsiTheme="majorEastAsia" w:eastAsiaTheme="majorEastAsia"/>
                <w:szCs w:val="21"/>
                <w:lang w:eastAsia="zh-CN"/>
              </w:rPr>
            </w:pPr>
            <w:r>
              <w:rPr>
                <w:rFonts w:hint="eastAsia" w:asciiTheme="majorEastAsia" w:hAnsiTheme="majorEastAsia" w:eastAsiaTheme="majorEastAsia"/>
                <w:szCs w:val="21"/>
              </w:rPr>
              <w:t>16.</w:t>
            </w:r>
            <w:r>
              <w:rPr>
                <w:rFonts w:hint="eastAsia" w:asciiTheme="majorEastAsia" w:hAnsiTheme="majorEastAsia" w:eastAsiaTheme="majorEastAsia"/>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35"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校园安全</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59.0</w:t>
            </w:r>
          </w:p>
        </w:tc>
        <w:tc>
          <w:tcPr>
            <w:tcW w:w="212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35.5</w:t>
            </w:r>
          </w:p>
        </w:tc>
        <w:tc>
          <w:tcPr>
            <w:tcW w:w="2035" w:type="dxa"/>
            <w:vAlign w:val="center"/>
          </w:tcPr>
          <w:p>
            <w:pPr>
              <w:spacing w:line="360" w:lineRule="auto"/>
              <w:ind w:left="108"/>
              <w:jc w:val="center"/>
              <w:rPr>
                <w:rFonts w:asciiTheme="majorEastAsia" w:hAnsiTheme="majorEastAsia" w:eastAsiaTheme="majorEastAsia"/>
                <w:szCs w:val="21"/>
              </w:rPr>
            </w:pPr>
            <w:r>
              <w:rPr>
                <w:rFonts w:hint="eastAsia" w:asciiTheme="majorEastAsia" w:hAnsiTheme="majorEastAsia" w:eastAsiaTheme="majorEastAsia"/>
                <w:szCs w:val="21"/>
              </w:rPr>
              <w:t>5.5</w:t>
            </w:r>
          </w:p>
        </w:tc>
      </w:tr>
    </w:tbl>
    <w:p>
      <w:pPr>
        <w:spacing w:before="156" w:beforeLines="5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2.毕业生满意度调研</w:t>
      </w:r>
    </w:p>
    <w:p>
      <w:pPr>
        <w:spacing w:before="156" w:beforeLines="50" w:line="360" w:lineRule="auto"/>
        <w:ind w:firstLine="480" w:firstLineChars="200"/>
        <w:rPr>
          <w:b/>
          <w:sz w:val="24"/>
          <w:szCs w:val="24"/>
        </w:rPr>
      </w:pPr>
      <w:r>
        <w:rPr>
          <w:rFonts w:hint="eastAsia" w:asciiTheme="minorEastAsia" w:hAnsiTheme="minorEastAsia" w:eastAsiaTheme="minorEastAsia"/>
          <w:sz w:val="24"/>
          <w:szCs w:val="24"/>
        </w:rPr>
        <w:t>我校通过调研，采集到2018届毕业生满意度样本60份，2019届毕业生的满意度样本65 份。根据调研结果2019届毕业生对学校持非常满意和基本满意态度的占到96.92％，同2018届毕业生满意度持平，2019届毕业生不满意仅占3.08％，同比下降0.25％。2018、2019届毕业生满意度统计见表2-4。</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表2-4  2018、2019届毕业生满意度统计</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260" w:type="dxa"/>
            <w:gridSpan w:val="3"/>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2018届</w:t>
            </w:r>
          </w:p>
        </w:tc>
        <w:tc>
          <w:tcPr>
            <w:tcW w:w="4262" w:type="dxa"/>
            <w:gridSpan w:val="3"/>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2019届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420"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满意</w:t>
            </w:r>
          </w:p>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c>
          <w:tcPr>
            <w:tcW w:w="1420"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基本满意（％）</w:t>
            </w:r>
          </w:p>
        </w:tc>
        <w:tc>
          <w:tcPr>
            <w:tcW w:w="1420"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不满意（％）</w:t>
            </w:r>
          </w:p>
        </w:tc>
        <w:tc>
          <w:tcPr>
            <w:tcW w:w="1420"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满意</w:t>
            </w:r>
          </w:p>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c>
          <w:tcPr>
            <w:tcW w:w="1421"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基本满意（％）</w:t>
            </w:r>
          </w:p>
        </w:tc>
        <w:tc>
          <w:tcPr>
            <w:tcW w:w="1421"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420"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83.33</w:t>
            </w:r>
          </w:p>
        </w:tc>
        <w:tc>
          <w:tcPr>
            <w:tcW w:w="1420"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13.33</w:t>
            </w:r>
          </w:p>
        </w:tc>
        <w:tc>
          <w:tcPr>
            <w:tcW w:w="1420"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3.33</w:t>
            </w:r>
          </w:p>
        </w:tc>
        <w:tc>
          <w:tcPr>
            <w:tcW w:w="1420"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83.07</w:t>
            </w:r>
          </w:p>
        </w:tc>
        <w:tc>
          <w:tcPr>
            <w:tcW w:w="142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13.85</w:t>
            </w:r>
          </w:p>
        </w:tc>
        <w:tc>
          <w:tcPr>
            <w:tcW w:w="142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3.08</w:t>
            </w:r>
          </w:p>
        </w:tc>
      </w:tr>
    </w:tbl>
    <w:p>
      <w:pPr>
        <w:pStyle w:val="3"/>
        <w:spacing w:before="156" w:beforeLines="50" w:after="0"/>
        <w:rPr>
          <w:rFonts w:ascii="黑体" w:hAnsi="黑体" w:eastAsia="黑体"/>
          <w:sz w:val="28"/>
          <w:szCs w:val="28"/>
        </w:rPr>
      </w:pPr>
      <w:bookmarkStart w:id="16" w:name="_Toc501482409"/>
      <w:bookmarkStart w:id="17" w:name="_Toc29894696"/>
      <w:r>
        <w:rPr>
          <w:rFonts w:hint="eastAsia" w:ascii="黑体" w:hAnsi="黑体" w:eastAsia="黑体"/>
          <w:sz w:val="28"/>
          <w:szCs w:val="28"/>
        </w:rPr>
        <w:t>（三）资助情况</w:t>
      </w:r>
      <w:bookmarkEnd w:id="16"/>
      <w:bookmarkEnd w:id="17"/>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根据中等职业教育资助政策要求，全校学生均享受中职免学费1950元／年﹒生政策，20%学生享受国家助学金2000元／年﹒生。对贫困家庭建档立卡学生免除包括住宿、书费等费用。设立校级奖学、助学制度，受奖受助覆盖率30%，2018-2019年度学校用于奖学、助学总金额15.54万元。学校食堂、实训室设立勤工助学岗位，为特困学生学习生活解决后顾之忧。</w:t>
      </w:r>
    </w:p>
    <w:p>
      <w:pPr>
        <w:pStyle w:val="3"/>
        <w:spacing w:before="156" w:beforeLines="50" w:after="0"/>
        <w:rPr>
          <w:rFonts w:ascii="黑体" w:hAnsi="黑体" w:eastAsia="黑体"/>
          <w:sz w:val="28"/>
          <w:szCs w:val="28"/>
        </w:rPr>
      </w:pPr>
      <w:bookmarkStart w:id="18" w:name="_Toc29894697"/>
      <w:bookmarkStart w:id="19" w:name="_Toc501482410"/>
      <w:r>
        <w:rPr>
          <w:rFonts w:hint="eastAsia" w:ascii="黑体" w:hAnsi="黑体" w:eastAsia="黑体"/>
          <w:sz w:val="28"/>
          <w:szCs w:val="28"/>
        </w:rPr>
        <w:t>（四）就业质量</w:t>
      </w:r>
      <w:bookmarkEnd w:id="18"/>
      <w:bookmarkEnd w:id="19"/>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我校在2019年10月，对2018、2019届毕业生就业质量开展了调研，对学校毕业生升学、就业情况进行了调查分析。</w:t>
      </w:r>
    </w:p>
    <w:p>
      <w:pPr>
        <w:spacing w:before="156" w:beforeLines="5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1.就业率及对口就业率</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2019届毕业生就业率为98.5%，与2018届毕业生就业率相比增加2.6 %，专业对口就业率84.52 %，与2018届相比上升1.05%，见表2-5。2018届、2019届毕业生分专业就业及对口就业情况统计分别见表2-6、表2-7。</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表2-5就业率总体统计</w:t>
      </w:r>
    </w:p>
    <w:tbl>
      <w:tblPr>
        <w:tblStyle w:val="31"/>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2127"/>
        <w:gridCol w:w="2126"/>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98" w:type="dxa"/>
            <w:vMerge w:val="restart"/>
            <w:vAlign w:val="center"/>
          </w:tcPr>
          <w:p>
            <w:pPr>
              <w:spacing w:line="36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毕业时间</w:t>
            </w:r>
          </w:p>
        </w:tc>
        <w:tc>
          <w:tcPr>
            <w:tcW w:w="6432" w:type="dxa"/>
            <w:gridSpan w:val="3"/>
            <w:vAlign w:val="center"/>
          </w:tcPr>
          <w:p>
            <w:pPr>
              <w:spacing w:line="36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就业基本情况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98" w:type="dxa"/>
            <w:vMerge w:val="continue"/>
            <w:tcBorders>
              <w:bottom w:val="single" w:color="auto" w:sz="4" w:space="0"/>
            </w:tcBorders>
            <w:vAlign w:val="center"/>
          </w:tcPr>
          <w:p>
            <w:pPr>
              <w:spacing w:line="360" w:lineRule="auto"/>
              <w:jc w:val="center"/>
              <w:rPr>
                <w:rFonts w:asciiTheme="majorEastAsia" w:hAnsiTheme="majorEastAsia" w:eastAsiaTheme="majorEastAsia"/>
                <w:b/>
                <w:sz w:val="24"/>
                <w:szCs w:val="24"/>
              </w:rPr>
            </w:pPr>
          </w:p>
        </w:tc>
        <w:tc>
          <w:tcPr>
            <w:tcW w:w="2127" w:type="dxa"/>
            <w:vAlign w:val="center"/>
          </w:tcPr>
          <w:p>
            <w:pPr>
              <w:spacing w:line="36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就业人数（人）</w:t>
            </w:r>
          </w:p>
        </w:tc>
        <w:tc>
          <w:tcPr>
            <w:tcW w:w="2126" w:type="dxa"/>
            <w:vAlign w:val="center"/>
          </w:tcPr>
          <w:p>
            <w:pPr>
              <w:spacing w:line="36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就业率（％）</w:t>
            </w:r>
          </w:p>
        </w:tc>
        <w:tc>
          <w:tcPr>
            <w:tcW w:w="2179" w:type="dxa"/>
            <w:vAlign w:val="center"/>
          </w:tcPr>
          <w:p>
            <w:pPr>
              <w:spacing w:line="36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对口就业率（％）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98" w:type="dxa"/>
            <w:tcBorders>
              <w:top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2018届</w:t>
            </w:r>
          </w:p>
        </w:tc>
        <w:tc>
          <w:tcPr>
            <w:tcW w:w="212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402</w:t>
            </w:r>
          </w:p>
        </w:tc>
        <w:tc>
          <w:tcPr>
            <w:tcW w:w="2126"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95.50</w:t>
            </w:r>
          </w:p>
        </w:tc>
        <w:tc>
          <w:tcPr>
            <w:tcW w:w="217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98"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2019届</w:t>
            </w:r>
          </w:p>
        </w:tc>
        <w:tc>
          <w:tcPr>
            <w:tcW w:w="212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662</w:t>
            </w:r>
          </w:p>
        </w:tc>
        <w:tc>
          <w:tcPr>
            <w:tcW w:w="2126"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98.50</w:t>
            </w:r>
          </w:p>
        </w:tc>
        <w:tc>
          <w:tcPr>
            <w:tcW w:w="217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84.52</w:t>
            </w:r>
          </w:p>
        </w:tc>
      </w:tr>
    </w:tbl>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表2-6  2018届、2019届毕业生分专业就业率统计</w:t>
      </w:r>
    </w:p>
    <w:tbl>
      <w:tblPr>
        <w:tblStyle w:val="31"/>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559"/>
        <w:gridCol w:w="1701"/>
        <w:gridCol w:w="1701"/>
        <w:gridCol w:w="1276"/>
        <w:gridCol w:w="1181"/>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140"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专业</w:t>
            </w:r>
          </w:p>
        </w:tc>
        <w:tc>
          <w:tcPr>
            <w:tcW w:w="1559"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计算机应用</w:t>
            </w:r>
          </w:p>
        </w:tc>
        <w:tc>
          <w:tcPr>
            <w:tcW w:w="1701"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机械加工技术</w:t>
            </w:r>
          </w:p>
        </w:tc>
        <w:tc>
          <w:tcPr>
            <w:tcW w:w="1701"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电子技术应用</w:t>
            </w:r>
          </w:p>
        </w:tc>
        <w:tc>
          <w:tcPr>
            <w:tcW w:w="1276"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电子商务</w:t>
            </w:r>
          </w:p>
        </w:tc>
        <w:tc>
          <w:tcPr>
            <w:tcW w:w="1181"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服装设计</w:t>
            </w:r>
          </w:p>
        </w:tc>
        <w:tc>
          <w:tcPr>
            <w:tcW w:w="240" w:type="dxa"/>
            <w:tcBorders>
              <w:top w:val="nil"/>
              <w:bottom w:val="nil"/>
              <w:right w:val="nil"/>
            </w:tcBorders>
            <w:vAlign w:val="center"/>
          </w:tcPr>
          <w:p>
            <w:pPr>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0" w:type="dxa"/>
          <w:trHeight w:val="726" w:hRule="atLeast"/>
          <w:jc w:val="center"/>
        </w:trPr>
        <w:tc>
          <w:tcPr>
            <w:tcW w:w="1140" w:type="dxa"/>
            <w:vAlign w:val="center"/>
          </w:tcPr>
          <w:p>
            <w:pPr>
              <w:jc w:val="center"/>
              <w:rPr>
                <w:rFonts w:ascii="Times New Roman" w:hAnsi="Times New Roman"/>
                <w:b/>
                <w:sz w:val="24"/>
                <w:szCs w:val="24"/>
              </w:rPr>
            </w:pPr>
            <w:r>
              <w:rPr>
                <w:rFonts w:hint="eastAsia" w:ascii="Times New Roman" w:hAnsi="Times New Roman"/>
                <w:b/>
                <w:sz w:val="24"/>
                <w:szCs w:val="24"/>
              </w:rPr>
              <w:t>就业率（</w:t>
            </w:r>
            <w:r>
              <w:rPr>
                <w:rFonts w:hint="eastAsia" w:asciiTheme="minorEastAsia" w:hAnsiTheme="minorEastAsia"/>
                <w:b/>
                <w:sz w:val="24"/>
                <w:szCs w:val="24"/>
              </w:rPr>
              <w:t>％</w:t>
            </w:r>
            <w:r>
              <w:rPr>
                <w:rFonts w:hint="eastAsia" w:ascii="Times New Roman" w:hAnsi="Times New Roman"/>
                <w:b/>
                <w:sz w:val="24"/>
                <w:szCs w:val="24"/>
              </w:rPr>
              <w:t>）</w:t>
            </w:r>
          </w:p>
        </w:tc>
        <w:tc>
          <w:tcPr>
            <w:tcW w:w="1559"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98.50</w:t>
            </w:r>
          </w:p>
        </w:tc>
        <w:tc>
          <w:tcPr>
            <w:tcW w:w="170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97.56</w:t>
            </w:r>
          </w:p>
        </w:tc>
        <w:tc>
          <w:tcPr>
            <w:tcW w:w="170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99.00</w:t>
            </w:r>
          </w:p>
        </w:tc>
        <w:tc>
          <w:tcPr>
            <w:tcW w:w="1276"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98.87</w:t>
            </w:r>
          </w:p>
        </w:tc>
        <w:tc>
          <w:tcPr>
            <w:tcW w:w="118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97.32</w:t>
            </w:r>
          </w:p>
        </w:tc>
      </w:tr>
    </w:tbl>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表2-7  2018届、2019届毕业生分专业对口就业率统计</w:t>
      </w:r>
    </w:p>
    <w:tbl>
      <w:tblPr>
        <w:tblStyle w:val="31"/>
        <w:tblW w:w="8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540"/>
        <w:gridCol w:w="1720"/>
        <w:gridCol w:w="1701"/>
        <w:gridCol w:w="1276"/>
        <w:gridCol w:w="1213"/>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173"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专业</w:t>
            </w:r>
          </w:p>
        </w:tc>
        <w:tc>
          <w:tcPr>
            <w:tcW w:w="1540"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计算机应用</w:t>
            </w:r>
          </w:p>
        </w:tc>
        <w:tc>
          <w:tcPr>
            <w:tcW w:w="1720"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机械加工技术</w:t>
            </w:r>
          </w:p>
        </w:tc>
        <w:tc>
          <w:tcPr>
            <w:tcW w:w="1701"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电子技术应用</w:t>
            </w:r>
          </w:p>
        </w:tc>
        <w:tc>
          <w:tcPr>
            <w:tcW w:w="1276"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电子商务</w:t>
            </w:r>
          </w:p>
        </w:tc>
        <w:tc>
          <w:tcPr>
            <w:tcW w:w="1213"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服装设计</w:t>
            </w:r>
          </w:p>
        </w:tc>
        <w:tc>
          <w:tcPr>
            <w:tcW w:w="240" w:type="dxa"/>
            <w:vMerge w:val="restart"/>
            <w:tcBorders>
              <w:top w:val="nil"/>
              <w:right w:val="nil"/>
            </w:tcBorders>
            <w:vAlign w:val="center"/>
          </w:tcPr>
          <w:p>
            <w:pPr>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173"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就业率</w:t>
            </w:r>
          </w:p>
          <w:p>
            <w:pPr>
              <w:jc w:val="center"/>
              <w:rPr>
                <w:rFonts w:ascii="Times New Roman" w:hAnsi="Times New Roman"/>
                <w:sz w:val="28"/>
                <w:szCs w:val="28"/>
              </w:rPr>
            </w:pPr>
            <w:r>
              <w:rPr>
                <w:rFonts w:hint="eastAsia" w:asciiTheme="minorEastAsia" w:hAnsiTheme="minorEastAsia" w:eastAsiaTheme="minorEastAsia"/>
                <w:b/>
                <w:sz w:val="24"/>
                <w:szCs w:val="24"/>
              </w:rPr>
              <w:t>（％）</w:t>
            </w:r>
          </w:p>
        </w:tc>
        <w:tc>
          <w:tcPr>
            <w:tcW w:w="1540"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85.05</w:t>
            </w:r>
          </w:p>
        </w:tc>
        <w:tc>
          <w:tcPr>
            <w:tcW w:w="1720"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81.30</w:t>
            </w:r>
          </w:p>
        </w:tc>
        <w:tc>
          <w:tcPr>
            <w:tcW w:w="170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92.13</w:t>
            </w:r>
          </w:p>
        </w:tc>
        <w:tc>
          <w:tcPr>
            <w:tcW w:w="1276"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79.22</w:t>
            </w:r>
          </w:p>
        </w:tc>
        <w:tc>
          <w:tcPr>
            <w:tcW w:w="121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69.26</w:t>
            </w:r>
          </w:p>
        </w:tc>
        <w:tc>
          <w:tcPr>
            <w:tcW w:w="240" w:type="dxa"/>
            <w:vMerge w:val="continue"/>
            <w:tcBorders>
              <w:bottom w:val="nil"/>
              <w:right w:val="nil"/>
            </w:tcBorders>
            <w:vAlign w:val="center"/>
          </w:tcPr>
          <w:p>
            <w:pPr>
              <w:jc w:val="center"/>
              <w:rPr>
                <w:rFonts w:ascii="Times New Roman" w:hAnsi="Times New Roman"/>
                <w:sz w:val="28"/>
                <w:szCs w:val="28"/>
              </w:rPr>
            </w:pPr>
          </w:p>
        </w:tc>
      </w:tr>
    </w:tbl>
    <w:p>
      <w:pPr>
        <w:spacing w:before="312" w:beforeLines="100" w:line="42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2.分专业就业月薪统计</w:t>
      </w:r>
    </w:p>
    <w:p>
      <w:pPr>
        <w:spacing w:before="156" w:beforeLines="5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我校对样本进行汇总分析，得到2019届毕业生平均月薪3856元，2019届毕业生平均月薪4023元。其中电子技术应用专业月薪最高，达到4692元；电子商务专业月薪较低，为3910元。2019届毕业生分专业月薪统计见表2-8。</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表2-8  2019届毕业生分专业月薪统计</w:t>
      </w:r>
    </w:p>
    <w:tbl>
      <w:tblPr>
        <w:tblStyle w:val="31"/>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559"/>
        <w:gridCol w:w="1701"/>
        <w:gridCol w:w="1701"/>
        <w:gridCol w:w="1276"/>
        <w:gridCol w:w="1252"/>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208"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专业</w:t>
            </w:r>
          </w:p>
        </w:tc>
        <w:tc>
          <w:tcPr>
            <w:tcW w:w="1559"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计算机应用</w:t>
            </w:r>
          </w:p>
        </w:tc>
        <w:tc>
          <w:tcPr>
            <w:tcW w:w="1701"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电子技术应用</w:t>
            </w:r>
          </w:p>
        </w:tc>
        <w:tc>
          <w:tcPr>
            <w:tcW w:w="1701"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机械加工技术</w:t>
            </w:r>
          </w:p>
        </w:tc>
        <w:tc>
          <w:tcPr>
            <w:tcW w:w="1276"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电子商务</w:t>
            </w:r>
          </w:p>
        </w:tc>
        <w:tc>
          <w:tcPr>
            <w:tcW w:w="1252"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服装设计</w:t>
            </w:r>
          </w:p>
        </w:tc>
        <w:tc>
          <w:tcPr>
            <w:tcW w:w="236" w:type="dxa"/>
            <w:vMerge w:val="restart"/>
            <w:tcBorders>
              <w:top w:val="nil"/>
              <w:right w:val="nil"/>
            </w:tcBorders>
          </w:tcPr>
          <w:p>
            <w:pP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208" w:type="dxa"/>
            <w:vAlign w:val="center"/>
          </w:tcPr>
          <w:p>
            <w:pPr>
              <w:jc w:val="center"/>
              <w:rPr>
                <w:rFonts w:ascii="Times New Roman" w:hAnsi="Times New Roman"/>
                <w:b/>
                <w:sz w:val="24"/>
                <w:szCs w:val="24"/>
              </w:rPr>
            </w:pPr>
            <w:r>
              <w:rPr>
                <w:rFonts w:hint="eastAsia" w:ascii="Times New Roman" w:hAnsi="Times New Roman"/>
                <w:b/>
                <w:sz w:val="24"/>
                <w:szCs w:val="24"/>
              </w:rPr>
              <w:t>月薪</w:t>
            </w:r>
          </w:p>
          <w:p>
            <w:pPr>
              <w:jc w:val="center"/>
              <w:rPr>
                <w:rFonts w:ascii="Times New Roman" w:hAnsi="Times New Roman"/>
                <w:sz w:val="28"/>
                <w:szCs w:val="28"/>
              </w:rPr>
            </w:pPr>
            <w:r>
              <w:rPr>
                <w:rFonts w:hint="eastAsia" w:ascii="Times New Roman" w:hAnsi="Times New Roman"/>
                <w:b/>
                <w:sz w:val="24"/>
                <w:szCs w:val="24"/>
              </w:rPr>
              <w:t>（</w:t>
            </w:r>
            <w:r>
              <w:rPr>
                <w:rFonts w:hint="eastAsia" w:asciiTheme="minorEastAsia" w:hAnsiTheme="minorEastAsia"/>
                <w:b/>
                <w:sz w:val="24"/>
                <w:szCs w:val="24"/>
              </w:rPr>
              <w:t>元</w:t>
            </w:r>
            <w:r>
              <w:rPr>
                <w:rFonts w:hint="eastAsia" w:ascii="Times New Roman" w:hAnsi="Times New Roman"/>
                <w:b/>
                <w:sz w:val="24"/>
                <w:szCs w:val="24"/>
              </w:rPr>
              <w:t>）</w:t>
            </w:r>
          </w:p>
        </w:tc>
        <w:tc>
          <w:tcPr>
            <w:tcW w:w="1559"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4163</w:t>
            </w:r>
          </w:p>
        </w:tc>
        <w:tc>
          <w:tcPr>
            <w:tcW w:w="1701"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4692</w:t>
            </w:r>
          </w:p>
        </w:tc>
        <w:tc>
          <w:tcPr>
            <w:tcW w:w="1701"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3980</w:t>
            </w:r>
          </w:p>
        </w:tc>
        <w:tc>
          <w:tcPr>
            <w:tcW w:w="1276"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3910</w:t>
            </w:r>
          </w:p>
        </w:tc>
        <w:tc>
          <w:tcPr>
            <w:tcW w:w="1252" w:type="dxa"/>
            <w:vAlign w:val="center"/>
          </w:tcPr>
          <w:p>
            <w:pPr>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3972</w:t>
            </w:r>
          </w:p>
        </w:tc>
        <w:tc>
          <w:tcPr>
            <w:tcW w:w="236" w:type="dxa"/>
            <w:vMerge w:val="continue"/>
            <w:tcBorders>
              <w:bottom w:val="nil"/>
              <w:right w:val="nil"/>
            </w:tcBorders>
          </w:tcPr>
          <w:p>
            <w:pPr>
              <w:rPr>
                <w:rFonts w:ascii="Times New Roman" w:hAnsi="Times New Roman"/>
                <w:sz w:val="28"/>
                <w:szCs w:val="28"/>
              </w:rPr>
            </w:pPr>
          </w:p>
        </w:tc>
      </w:tr>
    </w:tbl>
    <w:p>
      <w:pPr>
        <w:spacing w:before="312" w:beforeLines="100" w:line="42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3.毕业生就业去向</w:t>
      </w:r>
    </w:p>
    <w:p>
      <w:pPr>
        <w:spacing w:before="156" w:beforeLines="5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学校分别对进入工作岗位的2018届毕业生（52人）、2019届毕业生（102人）进行了追踪调研。2018、2019届毕业生就业去向统计见表2-9。</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表2-9  2018、2019届毕业生就业去向统计</w:t>
      </w:r>
    </w:p>
    <w:tbl>
      <w:tblPr>
        <w:tblStyle w:val="31"/>
        <w:tblW w:w="8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051"/>
        <w:gridCol w:w="1052"/>
        <w:gridCol w:w="1052"/>
        <w:gridCol w:w="1181"/>
        <w:gridCol w:w="923"/>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4348" w:type="dxa"/>
            <w:gridSpan w:val="4"/>
            <w:vAlign w:val="center"/>
          </w:tcPr>
          <w:p>
            <w:pPr>
              <w:pStyle w:val="48"/>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2018届</w:t>
            </w:r>
          </w:p>
        </w:tc>
        <w:tc>
          <w:tcPr>
            <w:tcW w:w="4208" w:type="dxa"/>
            <w:gridSpan w:val="4"/>
            <w:vAlign w:val="center"/>
          </w:tcPr>
          <w:p>
            <w:pPr>
              <w:pStyle w:val="48"/>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2019届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193" w:type="dxa"/>
            <w:vAlign w:val="center"/>
          </w:tcPr>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国有企事业单位（％）</w:t>
            </w:r>
          </w:p>
        </w:tc>
        <w:tc>
          <w:tcPr>
            <w:tcW w:w="1051" w:type="dxa"/>
            <w:vAlign w:val="center"/>
          </w:tcPr>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民营</w:t>
            </w:r>
          </w:p>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企业（％）</w:t>
            </w:r>
          </w:p>
        </w:tc>
        <w:tc>
          <w:tcPr>
            <w:tcW w:w="1052" w:type="dxa"/>
            <w:tcBorders>
              <w:right w:val="single" w:color="auto" w:sz="4" w:space="0"/>
            </w:tcBorders>
            <w:vAlign w:val="center"/>
          </w:tcPr>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外资</w:t>
            </w:r>
          </w:p>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企业</w:t>
            </w:r>
          </w:p>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c>
          <w:tcPr>
            <w:tcW w:w="1052" w:type="dxa"/>
            <w:tcBorders>
              <w:left w:val="single" w:color="auto" w:sz="4" w:space="0"/>
            </w:tcBorders>
            <w:vAlign w:val="center"/>
          </w:tcPr>
          <w:p>
            <w:pPr>
              <w:widowControl/>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自主</w:t>
            </w:r>
          </w:p>
          <w:p>
            <w:pPr>
              <w:widowControl/>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创业</w:t>
            </w:r>
          </w:p>
          <w:p>
            <w:pPr>
              <w:widowControl/>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c>
          <w:tcPr>
            <w:tcW w:w="1181" w:type="dxa"/>
            <w:vAlign w:val="center"/>
          </w:tcPr>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国有企事业单位（％）</w:t>
            </w:r>
          </w:p>
        </w:tc>
        <w:tc>
          <w:tcPr>
            <w:tcW w:w="923" w:type="dxa"/>
            <w:vAlign w:val="center"/>
          </w:tcPr>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民营</w:t>
            </w:r>
          </w:p>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企业</w:t>
            </w:r>
          </w:p>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c>
          <w:tcPr>
            <w:tcW w:w="1052" w:type="dxa"/>
            <w:tcBorders>
              <w:right w:val="single" w:color="auto" w:sz="4" w:space="0"/>
            </w:tcBorders>
            <w:vAlign w:val="center"/>
          </w:tcPr>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外资</w:t>
            </w:r>
          </w:p>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企业</w:t>
            </w:r>
          </w:p>
          <w:p>
            <w:pPr>
              <w:pStyle w:val="48"/>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c>
          <w:tcPr>
            <w:tcW w:w="1052" w:type="dxa"/>
            <w:tcBorders>
              <w:left w:val="single" w:color="auto" w:sz="4" w:space="0"/>
            </w:tcBorders>
            <w:vAlign w:val="center"/>
          </w:tcPr>
          <w:p>
            <w:pPr>
              <w:widowControl/>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自主</w:t>
            </w:r>
          </w:p>
          <w:p>
            <w:pPr>
              <w:widowControl/>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创业</w:t>
            </w:r>
          </w:p>
          <w:p>
            <w:pPr>
              <w:widowControl/>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193" w:type="dxa"/>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0</w:t>
            </w:r>
          </w:p>
        </w:tc>
        <w:tc>
          <w:tcPr>
            <w:tcW w:w="1051" w:type="dxa"/>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76</w:t>
            </w:r>
          </w:p>
        </w:tc>
        <w:tc>
          <w:tcPr>
            <w:tcW w:w="1052" w:type="dxa"/>
            <w:tcBorders>
              <w:right w:val="single" w:color="auto" w:sz="4" w:space="0"/>
            </w:tcBorders>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22</w:t>
            </w:r>
          </w:p>
        </w:tc>
        <w:tc>
          <w:tcPr>
            <w:tcW w:w="1052" w:type="dxa"/>
            <w:tcBorders>
              <w:left w:val="single" w:color="auto" w:sz="4" w:space="0"/>
            </w:tcBorders>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2</w:t>
            </w:r>
          </w:p>
        </w:tc>
        <w:tc>
          <w:tcPr>
            <w:tcW w:w="1181" w:type="dxa"/>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0</w:t>
            </w:r>
          </w:p>
        </w:tc>
        <w:tc>
          <w:tcPr>
            <w:tcW w:w="923" w:type="dxa"/>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23</w:t>
            </w:r>
          </w:p>
        </w:tc>
        <w:tc>
          <w:tcPr>
            <w:tcW w:w="1052" w:type="dxa"/>
            <w:tcBorders>
              <w:right w:val="single" w:color="auto" w:sz="4" w:space="0"/>
            </w:tcBorders>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83</w:t>
            </w:r>
          </w:p>
        </w:tc>
        <w:tc>
          <w:tcPr>
            <w:tcW w:w="1052" w:type="dxa"/>
            <w:tcBorders>
              <w:left w:val="single" w:color="auto" w:sz="4" w:space="0"/>
            </w:tcBorders>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6</w:t>
            </w:r>
          </w:p>
        </w:tc>
      </w:tr>
    </w:tbl>
    <w:p>
      <w:pPr>
        <w:spacing w:before="312" w:beforeLines="100" w:line="420" w:lineRule="auto"/>
        <w:ind w:firstLine="562" w:firstLineChars="200"/>
        <w:rPr>
          <w:rFonts w:asciiTheme="majorEastAsia" w:hAnsiTheme="majorEastAsia" w:eastAsiaTheme="majorEastAsia"/>
          <w:b/>
          <w:sz w:val="28"/>
          <w:szCs w:val="28"/>
        </w:rPr>
      </w:pPr>
      <w:r>
        <w:rPr>
          <w:rFonts w:hint="eastAsia" w:asciiTheme="majorEastAsia" w:hAnsiTheme="majorEastAsia" w:eastAsiaTheme="majorEastAsia"/>
          <w:b/>
          <w:sz w:val="28"/>
          <w:szCs w:val="28"/>
        </w:rPr>
        <w:t>4.毕业生就业产业</w:t>
      </w:r>
    </w:p>
    <w:p>
      <w:pPr>
        <w:spacing w:before="156" w:beforeLines="5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学校抽样调研进入工作岗位的2018届毕业生100人，2019届毕业生112人，2018、2019届毕业生就业产业统计见表2-10。</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表2-10  2018、2019届毕业生就业产业统计</w:t>
      </w:r>
    </w:p>
    <w:tbl>
      <w:tblPr>
        <w:tblStyle w:val="31"/>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2"/>
        <w:gridCol w:w="1950"/>
        <w:gridCol w:w="195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62" w:type="dxa"/>
            <w:vMerge w:val="restart"/>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2018届</w:t>
            </w:r>
          </w:p>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c>
          <w:tcPr>
            <w:tcW w:w="1950"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第一产业</w:t>
            </w:r>
          </w:p>
        </w:tc>
        <w:tc>
          <w:tcPr>
            <w:tcW w:w="1951"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第二产业</w:t>
            </w:r>
          </w:p>
        </w:tc>
        <w:tc>
          <w:tcPr>
            <w:tcW w:w="1951" w:type="dxa"/>
            <w:vAlign w:val="center"/>
          </w:tcPr>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第三产业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62" w:type="dxa"/>
            <w:vMerge w:val="continue"/>
            <w:vAlign w:val="center"/>
          </w:tcPr>
          <w:p>
            <w:pPr>
              <w:pStyle w:val="48"/>
              <w:spacing w:line="360" w:lineRule="auto"/>
              <w:ind w:firstLine="0" w:firstLineChars="0"/>
              <w:jc w:val="center"/>
              <w:rPr>
                <w:rFonts w:asciiTheme="minorEastAsia" w:hAnsiTheme="minorEastAsia" w:eastAsiaTheme="minorEastAsia"/>
                <w:b/>
                <w:sz w:val="24"/>
                <w:szCs w:val="24"/>
              </w:rPr>
            </w:pPr>
          </w:p>
        </w:tc>
        <w:tc>
          <w:tcPr>
            <w:tcW w:w="1950" w:type="dxa"/>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3.22</w:t>
            </w:r>
          </w:p>
        </w:tc>
        <w:tc>
          <w:tcPr>
            <w:tcW w:w="1951" w:type="dxa"/>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68.52</w:t>
            </w:r>
          </w:p>
        </w:tc>
        <w:tc>
          <w:tcPr>
            <w:tcW w:w="1951" w:type="dxa"/>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28.26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62" w:type="dxa"/>
            <w:vMerge w:val="restart"/>
            <w:vAlign w:val="center"/>
          </w:tcPr>
          <w:p>
            <w:pPr>
              <w:pStyle w:val="48"/>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2019届</w:t>
            </w:r>
          </w:p>
          <w:p>
            <w:pPr>
              <w:pStyle w:val="48"/>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c>
          <w:tcPr>
            <w:tcW w:w="1950" w:type="dxa"/>
            <w:vAlign w:val="center"/>
          </w:tcPr>
          <w:p>
            <w:pPr>
              <w:pStyle w:val="48"/>
              <w:spacing w:line="360" w:lineRule="auto"/>
              <w:ind w:firstLine="0" w:firstLineChars="0"/>
              <w:jc w:val="center"/>
              <w:rPr>
                <w:rFonts w:ascii="Times New Roman" w:hAnsi="Times New Roman"/>
                <w:b/>
                <w:sz w:val="24"/>
                <w:szCs w:val="24"/>
              </w:rPr>
            </w:pPr>
            <w:r>
              <w:rPr>
                <w:rFonts w:hint="eastAsia" w:ascii="Times New Roman" w:hAnsi="Times New Roman"/>
                <w:b/>
                <w:sz w:val="24"/>
                <w:szCs w:val="24"/>
              </w:rPr>
              <w:t>第一产业</w:t>
            </w:r>
          </w:p>
        </w:tc>
        <w:tc>
          <w:tcPr>
            <w:tcW w:w="1951" w:type="dxa"/>
            <w:vAlign w:val="center"/>
          </w:tcPr>
          <w:p>
            <w:pPr>
              <w:pStyle w:val="48"/>
              <w:spacing w:line="360" w:lineRule="auto"/>
              <w:ind w:firstLine="0" w:firstLineChars="0"/>
              <w:jc w:val="center"/>
              <w:rPr>
                <w:rFonts w:ascii="Times New Roman" w:hAnsi="Times New Roman"/>
                <w:b/>
                <w:sz w:val="24"/>
                <w:szCs w:val="24"/>
              </w:rPr>
            </w:pPr>
            <w:r>
              <w:rPr>
                <w:rFonts w:hint="eastAsia" w:ascii="Times New Roman" w:hAnsi="Times New Roman"/>
                <w:b/>
                <w:sz w:val="24"/>
                <w:szCs w:val="24"/>
              </w:rPr>
              <w:t>第二产业</w:t>
            </w:r>
          </w:p>
        </w:tc>
        <w:tc>
          <w:tcPr>
            <w:tcW w:w="1951" w:type="dxa"/>
            <w:vAlign w:val="center"/>
          </w:tcPr>
          <w:p>
            <w:pPr>
              <w:pStyle w:val="48"/>
              <w:spacing w:line="360" w:lineRule="auto"/>
              <w:ind w:firstLine="0" w:firstLineChars="0"/>
              <w:jc w:val="center"/>
              <w:rPr>
                <w:rFonts w:ascii="Times New Roman" w:hAnsi="Times New Roman"/>
                <w:b/>
                <w:sz w:val="24"/>
                <w:szCs w:val="24"/>
              </w:rPr>
            </w:pPr>
            <w:r>
              <w:rPr>
                <w:rFonts w:hint="eastAsia" w:ascii="Times New Roman" w:hAnsi="Times New Roman"/>
                <w:b/>
                <w:sz w:val="24"/>
                <w:szCs w:val="24"/>
              </w:rPr>
              <w:t>第三产业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62" w:type="dxa"/>
            <w:vMerge w:val="continue"/>
            <w:vAlign w:val="center"/>
          </w:tcPr>
          <w:p>
            <w:pPr>
              <w:pStyle w:val="48"/>
              <w:ind w:firstLine="0" w:firstLineChars="0"/>
              <w:jc w:val="center"/>
              <w:rPr>
                <w:rFonts w:ascii="Times New Roman" w:hAnsi="Times New Roman"/>
                <w:sz w:val="28"/>
                <w:szCs w:val="28"/>
              </w:rPr>
            </w:pPr>
          </w:p>
        </w:tc>
        <w:tc>
          <w:tcPr>
            <w:tcW w:w="1950" w:type="dxa"/>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3.90</w:t>
            </w:r>
          </w:p>
        </w:tc>
        <w:tc>
          <w:tcPr>
            <w:tcW w:w="1951" w:type="dxa"/>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7</w:t>
            </w:r>
            <w:r>
              <w:rPr>
                <w:rFonts w:hint="eastAsia" w:asciiTheme="majorEastAsia" w:hAnsiTheme="majorEastAsia" w:eastAsiaTheme="majorEastAsia"/>
                <w:szCs w:val="21"/>
                <w:lang w:val="en-US" w:eastAsia="zh-CN"/>
              </w:rPr>
              <w:t>0</w:t>
            </w:r>
            <w:r>
              <w:rPr>
                <w:rFonts w:hint="eastAsia" w:asciiTheme="majorEastAsia" w:hAnsiTheme="majorEastAsia" w:eastAsiaTheme="majorEastAsia"/>
                <w:szCs w:val="21"/>
              </w:rPr>
              <w:t>.55</w:t>
            </w:r>
          </w:p>
        </w:tc>
        <w:tc>
          <w:tcPr>
            <w:tcW w:w="1951" w:type="dxa"/>
            <w:vAlign w:val="center"/>
          </w:tcPr>
          <w:p>
            <w:pPr>
              <w:pStyle w:val="48"/>
              <w:spacing w:line="360" w:lineRule="auto"/>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25.55</w:t>
            </w:r>
          </w:p>
        </w:tc>
      </w:tr>
    </w:tbl>
    <w:p>
      <w:pPr>
        <w:spacing w:before="312" w:beforeLines="100" w:line="420" w:lineRule="auto"/>
        <w:ind w:firstLine="562" w:firstLineChars="200"/>
        <w:rPr>
          <w:rFonts w:asciiTheme="majorEastAsia" w:hAnsiTheme="majorEastAsia" w:eastAsiaTheme="majorEastAsia"/>
          <w:b/>
          <w:sz w:val="28"/>
          <w:szCs w:val="28"/>
        </w:rPr>
      </w:pPr>
      <w:r>
        <w:rPr>
          <w:rFonts w:hint="eastAsia" w:asciiTheme="majorEastAsia" w:hAnsiTheme="majorEastAsia" w:eastAsiaTheme="majorEastAsia"/>
          <w:b/>
          <w:sz w:val="28"/>
          <w:szCs w:val="28"/>
        </w:rPr>
        <w:t>5.用人单位对毕业生的满意度调研</w:t>
      </w:r>
    </w:p>
    <w:p>
      <w:pPr>
        <w:spacing w:before="156" w:beforeLines="5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2019年10月，我校通过用人单位（企业）对部分毕业生进行调研，其满意度统计见表2-11。</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表2-11 用人单位对2019届毕业生满意度统计</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307"/>
        <w:gridCol w:w="2131"/>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评价项目</w:t>
            </w:r>
          </w:p>
        </w:tc>
        <w:tc>
          <w:tcPr>
            <w:tcW w:w="2307"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非常满意率（</w:t>
            </w:r>
            <w:r>
              <w:rPr>
                <w:rFonts w:hint="eastAsia" w:asciiTheme="minorEastAsia" w:hAnsiTheme="minorEastAsia"/>
                <w:b/>
                <w:sz w:val="24"/>
                <w:szCs w:val="24"/>
              </w:rPr>
              <w:t>％</w:t>
            </w:r>
            <w:r>
              <w:rPr>
                <w:rFonts w:hint="eastAsia" w:ascii="Times New Roman" w:hAnsi="Times New Roman"/>
                <w:b/>
                <w:sz w:val="24"/>
                <w:szCs w:val="24"/>
              </w:rPr>
              <w:t>）</w:t>
            </w:r>
          </w:p>
        </w:tc>
        <w:tc>
          <w:tcPr>
            <w:tcW w:w="2131"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满意率（</w:t>
            </w:r>
            <w:r>
              <w:rPr>
                <w:rFonts w:hint="eastAsia" w:asciiTheme="minorEastAsia" w:hAnsiTheme="minorEastAsia"/>
                <w:b/>
                <w:sz w:val="24"/>
                <w:szCs w:val="24"/>
              </w:rPr>
              <w:t>％</w:t>
            </w:r>
            <w:r>
              <w:rPr>
                <w:rFonts w:hint="eastAsia" w:ascii="Times New Roman" w:hAnsi="Times New Roman"/>
                <w:b/>
                <w:sz w:val="24"/>
                <w:szCs w:val="24"/>
              </w:rPr>
              <w:t>）</w:t>
            </w:r>
          </w:p>
        </w:tc>
        <w:tc>
          <w:tcPr>
            <w:tcW w:w="2133"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不满意率（</w:t>
            </w:r>
            <w:r>
              <w:rPr>
                <w:rFonts w:hint="eastAsia" w:asciiTheme="minorEastAsia" w:hAnsiTheme="minorEastAsia"/>
                <w:b/>
                <w:sz w:val="24"/>
                <w:szCs w:val="24"/>
              </w:rPr>
              <w:t>％</w:t>
            </w:r>
            <w:r>
              <w:rPr>
                <w:rFonts w:hint="eastAsia" w:ascii="Times New Roman" w:hAnsi="Times New Roman"/>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职业道德</w:t>
            </w:r>
          </w:p>
        </w:tc>
        <w:tc>
          <w:tcPr>
            <w:tcW w:w="230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65.98</w:t>
            </w:r>
          </w:p>
        </w:tc>
        <w:tc>
          <w:tcPr>
            <w:tcW w:w="213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32.81</w:t>
            </w:r>
          </w:p>
        </w:tc>
        <w:tc>
          <w:tcPr>
            <w:tcW w:w="21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工作态度</w:t>
            </w:r>
          </w:p>
        </w:tc>
        <w:tc>
          <w:tcPr>
            <w:tcW w:w="230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52.79</w:t>
            </w:r>
          </w:p>
        </w:tc>
        <w:tc>
          <w:tcPr>
            <w:tcW w:w="213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44.63</w:t>
            </w:r>
          </w:p>
        </w:tc>
        <w:tc>
          <w:tcPr>
            <w:tcW w:w="21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工作业绩</w:t>
            </w:r>
          </w:p>
        </w:tc>
        <w:tc>
          <w:tcPr>
            <w:tcW w:w="230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54.30</w:t>
            </w:r>
          </w:p>
        </w:tc>
        <w:tc>
          <w:tcPr>
            <w:tcW w:w="213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40.05</w:t>
            </w:r>
          </w:p>
        </w:tc>
        <w:tc>
          <w:tcPr>
            <w:tcW w:w="21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心理素质</w:t>
            </w:r>
          </w:p>
        </w:tc>
        <w:tc>
          <w:tcPr>
            <w:tcW w:w="230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55.32</w:t>
            </w:r>
          </w:p>
        </w:tc>
        <w:tc>
          <w:tcPr>
            <w:tcW w:w="213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39.21</w:t>
            </w:r>
          </w:p>
        </w:tc>
        <w:tc>
          <w:tcPr>
            <w:tcW w:w="21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自学能力</w:t>
            </w:r>
          </w:p>
        </w:tc>
        <w:tc>
          <w:tcPr>
            <w:tcW w:w="230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43.26</w:t>
            </w:r>
          </w:p>
        </w:tc>
        <w:tc>
          <w:tcPr>
            <w:tcW w:w="213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43.17</w:t>
            </w:r>
          </w:p>
        </w:tc>
        <w:tc>
          <w:tcPr>
            <w:tcW w:w="21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合作能力</w:t>
            </w:r>
          </w:p>
        </w:tc>
        <w:tc>
          <w:tcPr>
            <w:tcW w:w="230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54.63</w:t>
            </w:r>
          </w:p>
        </w:tc>
        <w:tc>
          <w:tcPr>
            <w:tcW w:w="213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43.74</w:t>
            </w:r>
          </w:p>
        </w:tc>
        <w:tc>
          <w:tcPr>
            <w:tcW w:w="21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沟通能力</w:t>
            </w:r>
          </w:p>
        </w:tc>
        <w:tc>
          <w:tcPr>
            <w:tcW w:w="230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54.26</w:t>
            </w:r>
          </w:p>
        </w:tc>
        <w:tc>
          <w:tcPr>
            <w:tcW w:w="213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41.76</w:t>
            </w:r>
          </w:p>
        </w:tc>
        <w:tc>
          <w:tcPr>
            <w:tcW w:w="21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创新能力</w:t>
            </w:r>
          </w:p>
        </w:tc>
        <w:tc>
          <w:tcPr>
            <w:tcW w:w="230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53.36</w:t>
            </w:r>
          </w:p>
        </w:tc>
        <w:tc>
          <w:tcPr>
            <w:tcW w:w="213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42.47</w:t>
            </w:r>
          </w:p>
        </w:tc>
        <w:tc>
          <w:tcPr>
            <w:tcW w:w="21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身体状况</w:t>
            </w:r>
          </w:p>
        </w:tc>
        <w:tc>
          <w:tcPr>
            <w:tcW w:w="2307"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58.63</w:t>
            </w:r>
          </w:p>
        </w:tc>
        <w:tc>
          <w:tcPr>
            <w:tcW w:w="213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38.04</w:t>
            </w:r>
          </w:p>
        </w:tc>
        <w:tc>
          <w:tcPr>
            <w:tcW w:w="21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专业技能</w:t>
            </w:r>
          </w:p>
        </w:tc>
        <w:tc>
          <w:tcPr>
            <w:tcW w:w="2307"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56.69</w:t>
            </w:r>
          </w:p>
        </w:tc>
        <w:tc>
          <w:tcPr>
            <w:tcW w:w="2131" w:type="dxa"/>
            <w:tcBorders>
              <w:left w:val="single" w:color="auto" w:sz="4" w:space="0"/>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42.11</w:t>
            </w:r>
          </w:p>
        </w:tc>
        <w:tc>
          <w:tcPr>
            <w:tcW w:w="2133"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ind w:left="108"/>
              <w:jc w:val="center"/>
              <w:rPr>
                <w:rFonts w:asciiTheme="minorEastAsia" w:hAnsiTheme="minorEastAsia" w:eastAsiaTheme="minorEastAsia"/>
                <w:szCs w:val="21"/>
              </w:rPr>
            </w:pPr>
            <w:r>
              <w:rPr>
                <w:rFonts w:hint="eastAsia" w:asciiTheme="minorEastAsia" w:hAnsiTheme="minorEastAsia" w:eastAsiaTheme="minorEastAsia"/>
                <w:szCs w:val="21"/>
              </w:rPr>
              <w:t>动手能力</w:t>
            </w:r>
          </w:p>
        </w:tc>
        <w:tc>
          <w:tcPr>
            <w:tcW w:w="2307" w:type="dxa"/>
            <w:vAlign w:val="center"/>
          </w:tcPr>
          <w:p>
            <w:pPr>
              <w:spacing w:line="360" w:lineRule="auto"/>
              <w:ind w:left="108"/>
              <w:jc w:val="center"/>
              <w:rPr>
                <w:rFonts w:asciiTheme="minorEastAsia" w:hAnsiTheme="minorEastAsia" w:eastAsiaTheme="minorEastAsia"/>
                <w:szCs w:val="21"/>
              </w:rPr>
            </w:pPr>
            <w:r>
              <w:rPr>
                <w:rFonts w:hint="eastAsia" w:asciiTheme="minorEastAsia" w:hAnsiTheme="minorEastAsia" w:eastAsiaTheme="minorEastAsia"/>
                <w:szCs w:val="21"/>
              </w:rPr>
              <w:t>53.75</w:t>
            </w:r>
          </w:p>
        </w:tc>
        <w:tc>
          <w:tcPr>
            <w:tcW w:w="2131" w:type="dxa"/>
            <w:vAlign w:val="center"/>
          </w:tcPr>
          <w:p>
            <w:pPr>
              <w:spacing w:line="360" w:lineRule="auto"/>
              <w:ind w:left="108"/>
              <w:jc w:val="center"/>
              <w:rPr>
                <w:rFonts w:asciiTheme="minorEastAsia" w:hAnsiTheme="minorEastAsia" w:eastAsiaTheme="minorEastAsia"/>
                <w:szCs w:val="21"/>
              </w:rPr>
            </w:pPr>
            <w:r>
              <w:rPr>
                <w:rFonts w:hint="eastAsia" w:asciiTheme="minorEastAsia" w:hAnsiTheme="minorEastAsia" w:eastAsiaTheme="minorEastAsia"/>
                <w:szCs w:val="21"/>
              </w:rPr>
              <w:t>42.01</w:t>
            </w:r>
          </w:p>
        </w:tc>
        <w:tc>
          <w:tcPr>
            <w:tcW w:w="2133" w:type="dxa"/>
            <w:vAlign w:val="center"/>
          </w:tcPr>
          <w:p>
            <w:pPr>
              <w:spacing w:line="360" w:lineRule="auto"/>
              <w:ind w:left="108"/>
              <w:jc w:val="center"/>
              <w:rPr>
                <w:rFonts w:asciiTheme="minorEastAsia" w:hAnsiTheme="minorEastAsia" w:eastAsiaTheme="minorEastAsia"/>
                <w:szCs w:val="21"/>
              </w:rPr>
            </w:pPr>
            <w:r>
              <w:rPr>
                <w:rFonts w:hint="eastAsia" w:asciiTheme="minorEastAsia" w:hAnsiTheme="minorEastAsia" w:eastAsiaTheme="minorEastAsia"/>
                <w:szCs w:val="21"/>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51" w:type="dxa"/>
            <w:vAlign w:val="center"/>
          </w:tcPr>
          <w:p>
            <w:pPr>
              <w:spacing w:line="360" w:lineRule="auto"/>
              <w:ind w:left="108"/>
              <w:jc w:val="center"/>
              <w:rPr>
                <w:rFonts w:asciiTheme="minorEastAsia" w:hAnsiTheme="minorEastAsia" w:eastAsiaTheme="minorEastAsia"/>
                <w:szCs w:val="21"/>
              </w:rPr>
            </w:pPr>
            <w:r>
              <w:rPr>
                <w:rFonts w:hint="eastAsia" w:asciiTheme="minorEastAsia" w:hAnsiTheme="minorEastAsia" w:eastAsiaTheme="minorEastAsia"/>
                <w:szCs w:val="21"/>
              </w:rPr>
              <w:t>职业能力</w:t>
            </w:r>
          </w:p>
        </w:tc>
        <w:tc>
          <w:tcPr>
            <w:tcW w:w="2307" w:type="dxa"/>
            <w:vAlign w:val="center"/>
          </w:tcPr>
          <w:p>
            <w:pPr>
              <w:spacing w:line="360" w:lineRule="auto"/>
              <w:ind w:left="108"/>
              <w:jc w:val="center"/>
              <w:rPr>
                <w:rFonts w:asciiTheme="minorEastAsia" w:hAnsiTheme="minorEastAsia" w:eastAsiaTheme="minorEastAsia"/>
                <w:szCs w:val="21"/>
              </w:rPr>
            </w:pPr>
            <w:r>
              <w:rPr>
                <w:rFonts w:hint="eastAsia" w:asciiTheme="minorEastAsia" w:hAnsiTheme="minorEastAsia" w:eastAsiaTheme="minorEastAsia"/>
                <w:szCs w:val="21"/>
              </w:rPr>
              <w:t>53.26</w:t>
            </w:r>
          </w:p>
        </w:tc>
        <w:tc>
          <w:tcPr>
            <w:tcW w:w="2131" w:type="dxa"/>
            <w:vAlign w:val="center"/>
          </w:tcPr>
          <w:p>
            <w:pPr>
              <w:spacing w:line="360" w:lineRule="auto"/>
              <w:ind w:left="108"/>
              <w:jc w:val="center"/>
              <w:rPr>
                <w:rFonts w:asciiTheme="minorEastAsia" w:hAnsiTheme="minorEastAsia" w:eastAsiaTheme="minorEastAsia"/>
                <w:szCs w:val="21"/>
              </w:rPr>
            </w:pPr>
            <w:r>
              <w:rPr>
                <w:rFonts w:hint="eastAsia" w:asciiTheme="minorEastAsia" w:hAnsiTheme="minorEastAsia" w:eastAsiaTheme="minorEastAsia"/>
                <w:szCs w:val="21"/>
              </w:rPr>
              <w:t>41.77</w:t>
            </w:r>
          </w:p>
        </w:tc>
        <w:tc>
          <w:tcPr>
            <w:tcW w:w="2133" w:type="dxa"/>
            <w:vAlign w:val="center"/>
          </w:tcPr>
          <w:p>
            <w:pPr>
              <w:spacing w:line="360" w:lineRule="auto"/>
              <w:ind w:left="108"/>
              <w:jc w:val="center"/>
              <w:rPr>
                <w:rFonts w:asciiTheme="minorEastAsia" w:hAnsiTheme="minorEastAsia" w:eastAsiaTheme="minorEastAsia"/>
                <w:szCs w:val="21"/>
              </w:rPr>
            </w:pPr>
            <w:r>
              <w:rPr>
                <w:rFonts w:hint="eastAsia" w:asciiTheme="minorEastAsia" w:hAnsiTheme="minorEastAsia" w:eastAsiaTheme="minorEastAsia"/>
                <w:szCs w:val="21"/>
              </w:rPr>
              <w:t>4.97</w:t>
            </w:r>
          </w:p>
        </w:tc>
      </w:tr>
    </w:tbl>
    <w:p>
      <w:pPr>
        <w:spacing w:before="312" w:beforeLines="100" w:line="420" w:lineRule="auto"/>
        <w:ind w:firstLine="562" w:firstLineChars="200"/>
        <w:rPr>
          <w:rFonts w:asciiTheme="majorEastAsia" w:hAnsiTheme="majorEastAsia" w:eastAsiaTheme="majorEastAsia"/>
          <w:b/>
          <w:sz w:val="28"/>
          <w:szCs w:val="28"/>
        </w:rPr>
      </w:pPr>
      <w:r>
        <w:rPr>
          <w:rFonts w:hint="eastAsia" w:asciiTheme="majorEastAsia" w:hAnsiTheme="majorEastAsia" w:eastAsiaTheme="majorEastAsia"/>
          <w:b/>
          <w:sz w:val="28"/>
          <w:szCs w:val="28"/>
        </w:rPr>
        <w:t>6.毕业生升学情况</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校一直坚持“对口升学”与“就业”两条腿走路的培养目标，学校2018届、2019届毕业生对口升学率均名列内江市同级同类学校前茅，2019年对口升学成绩突出，本科上线人数占全市中职类的75%，单招录取率达95.8%，具体情况见表2-12。</w:t>
      </w:r>
    </w:p>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2-12  2018、2019年参加高考学生升学情况统计</w:t>
      </w:r>
    </w:p>
    <w:tbl>
      <w:tblPr>
        <w:tblStyle w:val="31"/>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560"/>
        <w:gridCol w:w="850"/>
        <w:gridCol w:w="1559"/>
        <w:gridCol w:w="127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pStyle w:val="48"/>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年份</w:t>
            </w:r>
          </w:p>
        </w:tc>
        <w:tc>
          <w:tcPr>
            <w:tcW w:w="1560" w:type="dxa"/>
            <w:vAlign w:val="center"/>
          </w:tcPr>
          <w:p>
            <w:pPr>
              <w:pStyle w:val="48"/>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参考人数</w:t>
            </w:r>
          </w:p>
        </w:tc>
        <w:tc>
          <w:tcPr>
            <w:tcW w:w="850" w:type="dxa"/>
            <w:vAlign w:val="center"/>
          </w:tcPr>
          <w:p>
            <w:pPr>
              <w:pStyle w:val="48"/>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本科</w:t>
            </w:r>
          </w:p>
        </w:tc>
        <w:tc>
          <w:tcPr>
            <w:tcW w:w="1559" w:type="dxa"/>
            <w:vAlign w:val="center"/>
          </w:tcPr>
          <w:p>
            <w:pPr>
              <w:pStyle w:val="48"/>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对口高职</w:t>
            </w:r>
          </w:p>
        </w:tc>
        <w:tc>
          <w:tcPr>
            <w:tcW w:w="1276" w:type="dxa"/>
            <w:vAlign w:val="center"/>
          </w:tcPr>
          <w:p>
            <w:pPr>
              <w:pStyle w:val="48"/>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合计</w:t>
            </w:r>
          </w:p>
        </w:tc>
        <w:tc>
          <w:tcPr>
            <w:tcW w:w="1701" w:type="dxa"/>
            <w:vAlign w:val="center"/>
          </w:tcPr>
          <w:p>
            <w:pPr>
              <w:pStyle w:val="48"/>
              <w:spacing w:line="36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上线率（％）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2018</w:t>
            </w:r>
          </w:p>
        </w:tc>
        <w:tc>
          <w:tcPr>
            <w:tcW w:w="1560"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211</w:t>
            </w:r>
          </w:p>
        </w:tc>
        <w:tc>
          <w:tcPr>
            <w:tcW w:w="850"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6</w:t>
            </w:r>
          </w:p>
        </w:tc>
        <w:tc>
          <w:tcPr>
            <w:tcW w:w="1559"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190</w:t>
            </w:r>
          </w:p>
        </w:tc>
        <w:tc>
          <w:tcPr>
            <w:tcW w:w="1276"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196</w:t>
            </w:r>
          </w:p>
        </w:tc>
        <w:tc>
          <w:tcPr>
            <w:tcW w:w="1701"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2019</w:t>
            </w:r>
          </w:p>
        </w:tc>
        <w:tc>
          <w:tcPr>
            <w:tcW w:w="1560"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378</w:t>
            </w:r>
          </w:p>
        </w:tc>
        <w:tc>
          <w:tcPr>
            <w:tcW w:w="850"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12</w:t>
            </w:r>
          </w:p>
        </w:tc>
        <w:tc>
          <w:tcPr>
            <w:tcW w:w="1559"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366</w:t>
            </w:r>
          </w:p>
        </w:tc>
        <w:tc>
          <w:tcPr>
            <w:tcW w:w="1276"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378</w:t>
            </w:r>
          </w:p>
        </w:tc>
        <w:tc>
          <w:tcPr>
            <w:tcW w:w="1701" w:type="dxa"/>
            <w:vAlign w:val="center"/>
          </w:tcPr>
          <w:p>
            <w:pPr>
              <w:pStyle w:val="48"/>
              <w:spacing w:line="360" w:lineRule="auto"/>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100</w:t>
            </w:r>
          </w:p>
        </w:tc>
      </w:tr>
    </w:tbl>
    <w:p>
      <w:pPr>
        <w:pStyle w:val="3"/>
        <w:spacing w:before="312" w:beforeLines="100" w:after="0"/>
        <w:rPr>
          <w:rFonts w:ascii="黑体" w:hAnsi="黑体" w:eastAsia="黑体"/>
          <w:sz w:val="28"/>
          <w:szCs w:val="28"/>
        </w:rPr>
      </w:pPr>
      <w:bookmarkStart w:id="20" w:name="_Toc29894698"/>
      <w:bookmarkStart w:id="21" w:name="_Toc501482411"/>
      <w:r>
        <w:rPr>
          <w:rFonts w:hint="eastAsia" w:ascii="黑体" w:hAnsi="黑体" w:eastAsia="黑体"/>
          <w:sz w:val="28"/>
          <w:szCs w:val="28"/>
        </w:rPr>
        <w:t>（五）职业发展</w:t>
      </w:r>
      <w:bookmarkEnd w:id="20"/>
      <w:bookmarkEnd w:id="21"/>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通过开设素质课，如《职业生涯规划》、《普通话》、《书法》、《心理健康》、《演讲与口才》、《人际关系》等，通过社团活动，如青青校园广播站、礼仪社团、舞蹈社团、篮球社团、园艺社团、学生会、团委会等社团组织实践活动，提高学生的综合能力。</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将《创新创业能力训练》创业教育内容融入课堂，邀请知名企业张建先生（江苏无锡电子仪表有限公司副董事长兼总经理），徐泠女士（江苏无锡电子仪表有限公司人事部主管）、袁明（成都魔力风暴科技有限公司董事长）等到校开展创业指导，创业报告。通过创业培训，增强了学生创业意识，树立了创业信心，培养了学生的创新创业能力，提高了他们对社会的认知度。</w:t>
      </w:r>
    </w:p>
    <w:p>
      <w:pPr>
        <w:pStyle w:val="2"/>
        <w:spacing w:before="312" w:beforeLines="100" w:after="0"/>
        <w:rPr>
          <w:rFonts w:ascii="黑体" w:hAnsi="黑体" w:eastAsia="黑体"/>
          <w:sz w:val="30"/>
          <w:szCs w:val="30"/>
        </w:rPr>
      </w:pPr>
      <w:bookmarkStart w:id="22" w:name="_Toc29894699"/>
      <w:bookmarkStart w:id="23" w:name="_Toc501482412"/>
      <w:r>
        <w:rPr>
          <w:rFonts w:hint="eastAsia" w:ascii="黑体" w:hAnsi="黑体" w:eastAsia="黑体"/>
          <w:sz w:val="30"/>
          <w:szCs w:val="30"/>
        </w:rPr>
        <w:t>三、质量保障措施</w:t>
      </w:r>
      <w:bookmarkEnd w:id="22"/>
      <w:bookmarkEnd w:id="23"/>
    </w:p>
    <w:p>
      <w:pPr>
        <w:pStyle w:val="3"/>
        <w:spacing w:before="156" w:beforeLines="50" w:after="0"/>
        <w:rPr>
          <w:rFonts w:ascii="黑体" w:hAnsi="黑体" w:eastAsia="黑体"/>
          <w:sz w:val="28"/>
          <w:szCs w:val="28"/>
        </w:rPr>
      </w:pPr>
      <w:bookmarkStart w:id="24" w:name="_Toc501482413"/>
      <w:bookmarkStart w:id="25" w:name="_Toc29894700"/>
      <w:r>
        <w:rPr>
          <w:rFonts w:hint="eastAsia" w:ascii="黑体" w:hAnsi="黑体" w:eastAsia="黑体"/>
          <w:sz w:val="28"/>
          <w:szCs w:val="28"/>
        </w:rPr>
        <w:t>（一）专业动态调整</w:t>
      </w:r>
      <w:bookmarkEnd w:id="24"/>
      <w:bookmarkEnd w:id="25"/>
    </w:p>
    <w:p>
      <w:pPr>
        <w:spacing w:before="156" w:beforeLines="50" w:line="360" w:lineRule="auto"/>
        <w:ind w:firstLine="480" w:firstLineChars="200"/>
        <w:rPr>
          <w:rFonts w:asciiTheme="minorEastAsia" w:hAnsiTheme="minorEastAsia" w:eastAsiaTheme="minorEastAsia"/>
          <w:sz w:val="24"/>
          <w:szCs w:val="24"/>
        </w:rPr>
      </w:pPr>
      <w:bookmarkStart w:id="26" w:name="_Toc501482414"/>
      <w:r>
        <w:rPr>
          <w:rFonts w:hint="eastAsia" w:asciiTheme="minorEastAsia" w:hAnsiTheme="minorEastAsia" w:eastAsiaTheme="minorEastAsia"/>
          <w:sz w:val="24"/>
          <w:szCs w:val="24"/>
        </w:rPr>
        <w:t>以示范校建设为契机，</w:t>
      </w:r>
      <w:r>
        <w:rPr>
          <w:rFonts w:asciiTheme="minorEastAsia" w:hAnsiTheme="minorEastAsia" w:eastAsiaTheme="minorEastAsia"/>
          <w:sz w:val="24"/>
          <w:szCs w:val="24"/>
        </w:rPr>
        <w:t>成立</w:t>
      </w:r>
      <w:r>
        <w:rPr>
          <w:rFonts w:hint="eastAsia" w:asciiTheme="minorEastAsia" w:hAnsiTheme="minorEastAsia" w:eastAsiaTheme="minorEastAsia"/>
          <w:sz w:val="24"/>
          <w:szCs w:val="24"/>
        </w:rPr>
        <w:t>了</w:t>
      </w:r>
      <w:r>
        <w:rPr>
          <w:rFonts w:asciiTheme="minorEastAsia" w:hAnsiTheme="minorEastAsia" w:eastAsiaTheme="minorEastAsia"/>
          <w:sz w:val="24"/>
          <w:szCs w:val="24"/>
        </w:rPr>
        <w:t>由行业、企业、学校、专家组建的专业建设指导委员会，制订《专业建设指导委员会工作章程》、《专业建设指导委员会工作制度》，根据行业现状和发展趋势，结合学校专业建设工作，进行市场调研、行业发展调研、毕业生就业及发展情况调研，形成调研报告，重点在新设专业的论证、申报、审批及原有专业方向的调整方面进行充分论证、指导。不断完善《专业设置动态调整实施方案》，根据成都市大力发展信息产业、信息文化产业，资中县大力发展电子商务产业的区域产业结构调整规划及信息产业、电子商务产业对人才质量要求不断提高的实际情况，形成以信息类专业为骨干，带动电子商务专业发展的信息类专业群，该专业群在原有计算机平面设计、计算机应用、电子商务三个专业的基础上，新开设计算机动漫与游戏制作专业。根据汽车行业人才需求的紧缺及内江市大力发展汽车、摩配加工业，资中县打造配套成渝的新兴机械汽配基地，资阳市机械加工制造业对人才需求量大的实际情况，形成以汽车运用与维修专业为骨干，带动机械加工类、电子技术类发展的制造类专业群</w:t>
      </w:r>
      <w:r>
        <w:rPr>
          <w:rFonts w:hint="eastAsia" w:asciiTheme="minorEastAsia" w:hAnsiTheme="minorEastAsia" w:eastAsiaTheme="minorEastAsia"/>
          <w:sz w:val="24"/>
          <w:szCs w:val="24"/>
        </w:rPr>
        <w:t>。</w:t>
      </w:r>
      <w:r>
        <w:rPr>
          <w:rFonts w:asciiTheme="minorEastAsia" w:hAnsiTheme="minorEastAsia" w:eastAsiaTheme="minorEastAsia"/>
          <w:sz w:val="24"/>
          <w:szCs w:val="24"/>
        </w:rPr>
        <w:t>根据国家大力发展现代农业和实施乡村振兴计划的举措，结合资中县十三五规划中提出的现代农业“12345”提升行动及“以水美城”的发展战略，形成以农业类专业为特色专业，带动旅游服务类专业共同发展的农旅专业群。</w:t>
      </w:r>
    </w:p>
    <w:p>
      <w:pPr>
        <w:pStyle w:val="3"/>
        <w:spacing w:before="156" w:beforeLines="50" w:after="0"/>
        <w:rPr>
          <w:rFonts w:ascii="黑体" w:hAnsi="黑体" w:eastAsia="黑体"/>
          <w:sz w:val="28"/>
          <w:szCs w:val="28"/>
        </w:rPr>
      </w:pPr>
      <w:bookmarkStart w:id="27" w:name="_Toc29894701"/>
      <w:r>
        <w:rPr>
          <w:rFonts w:hint="eastAsia" w:ascii="黑体" w:hAnsi="黑体" w:eastAsia="黑体"/>
          <w:sz w:val="28"/>
          <w:szCs w:val="28"/>
        </w:rPr>
        <w:t>（二）教育教学改革</w:t>
      </w:r>
      <w:bookmarkEnd w:id="26"/>
      <w:bookmarkEnd w:id="27"/>
    </w:p>
    <w:p>
      <w:pPr>
        <w:spacing w:before="156" w:beforeLines="50" w:line="360" w:lineRule="auto"/>
        <w:ind w:firstLine="562" w:firstLineChars="200"/>
        <w:rPr>
          <w:rFonts w:asciiTheme="majorEastAsia" w:hAnsiTheme="majorEastAsia" w:eastAsiaTheme="majorEastAsia"/>
          <w:b/>
          <w:sz w:val="28"/>
          <w:szCs w:val="28"/>
        </w:rPr>
      </w:pPr>
      <w:r>
        <w:rPr>
          <w:rFonts w:hint="eastAsia" w:asciiTheme="majorEastAsia" w:hAnsiTheme="majorEastAsia" w:eastAsiaTheme="majorEastAsia"/>
          <w:b/>
          <w:sz w:val="28"/>
          <w:szCs w:val="28"/>
        </w:rPr>
        <w:t>1.以前途理想教育为基础，以“严、爱”结合管理为手段，确保课堂教学规范、高效</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加强学生职业生涯规划教育：为了让学生学习有目标，学校利用集会、班会和学科教学，对学生进行职业生涯规划教育，让每一个学生明白应该为将来的职业做好哪些专业技能和综合素养的准备，要求每个学生根据升学、就业两个培养方向，明确自己奋斗目标，让学生在校学习期间，为前途、理想不懈追求、奋斗。</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（2）加强课堂督查：学校行政人员实行值周值班两条线全天巡查教室，对教师上课的状态和学生听课的状态进行监督考核，及时发现并纠正不在状态的现象，提升了课堂教学的有效性。</w:t>
      </w:r>
    </w:p>
    <w:p>
      <w:pPr>
        <w:spacing w:before="156" w:beforeLines="5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2.文化课根据学生基础、专业特点因材施教</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学生学习能力和对口升学、就业的两个培养方向，文化课实施因材施教，分层教学，分类指导，不同层次的学生通过自身努力达到教学目标，文化课教学为专业教学服务，文化基础课的内容与学生基础相结合，与专业方向相结合，与学生后续发展相结合，全面提高学生综合素质。</w:t>
      </w:r>
    </w:p>
    <w:p>
      <w:pPr>
        <w:spacing w:before="156" w:beforeLines="5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3.专业课实施项目过关制教学改革</w:t>
      </w:r>
    </w:p>
    <w:p>
      <w:pPr>
        <w:spacing w:before="156" w:beforeLines="50" w:line="360" w:lineRule="auto"/>
        <w:ind w:firstLine="480" w:firstLineChars="200"/>
        <w:rPr>
          <w:sz w:val="28"/>
          <w:szCs w:val="28"/>
        </w:rPr>
      </w:pPr>
      <w:r>
        <w:rPr>
          <w:rFonts w:hint="eastAsia" w:asciiTheme="minorEastAsia" w:hAnsiTheme="minorEastAsia" w:eastAsiaTheme="minorEastAsia"/>
          <w:sz w:val="24"/>
          <w:szCs w:val="24"/>
        </w:rPr>
        <w:t>学校要求各专业学科对专业知识和技能进行项目分解细化，每学期根据项目考核计划实施教学，教学由浅入深，循序渐进，每个学生必须完成每个项目的过关考核。2019年，学校组织专业教师编制了项目过关制教学的实训指导书，考核标准。项目过关制教学改革逐步规范，成效更加凸显。</w:t>
      </w:r>
    </w:p>
    <w:p>
      <w:pPr>
        <w:widowControl/>
        <w:jc w:val="left"/>
        <w:rPr>
          <w:rFonts w:ascii="方正小标宋简体" w:hAnsi="方正小标宋简体" w:eastAsia="方正小标宋简体" w:cs="方正小标宋简体"/>
          <w:bCs/>
          <w:i/>
          <w:color w:val="000000"/>
          <w:kern w:val="0"/>
          <w:sz w:val="28"/>
          <w:szCs w:val="28"/>
        </w:rPr>
      </w:pPr>
      <w:r>
        <w:rPr>
          <w:rFonts w:hint="eastAsia" w:ascii="方正小标宋简体" w:hAnsi="方正小标宋简体" w:eastAsia="方正小标宋简体" w:cs="方正小标宋简体"/>
          <w:bCs/>
          <w:i/>
          <w:color w:val="000000"/>
          <w:kern w:val="0"/>
          <w:sz w:val="28"/>
          <w:szCs w:val="28"/>
        </w:rPr>
        <w:t>【案例】</w:t>
      </w:r>
    </w:p>
    <w:p>
      <w:pPr>
        <w:jc w:val="center"/>
        <w:rPr>
          <w:rFonts w:ascii="仿宋_GB2312" w:hAnsi="方正小标宋简体" w:eastAsia="仿宋_GB2312" w:cs="方正小标宋简体"/>
          <w:bCs/>
          <w:color w:val="000000"/>
          <w:kern w:val="0"/>
          <w:sz w:val="28"/>
          <w:szCs w:val="28"/>
        </w:rPr>
      </w:pPr>
      <w:r>
        <w:rPr>
          <w:rFonts w:hint="eastAsia" w:ascii="仿宋_GB2312" w:hAnsi="方正小标宋简体" w:eastAsia="仿宋_GB2312" w:cs="方正小标宋简体"/>
          <w:bCs/>
          <w:color w:val="000000"/>
          <w:kern w:val="0"/>
          <w:sz w:val="28"/>
          <w:szCs w:val="28"/>
        </w:rPr>
        <w:t>资中县职业技术学校双龙校区</w:t>
      </w:r>
    </w:p>
    <w:p>
      <w:pPr>
        <w:jc w:val="center"/>
        <w:rPr>
          <w:rFonts w:ascii="仿宋_GB2312" w:hAnsi="方正小标宋简体" w:eastAsia="仿宋_GB2312" w:cs="方正小标宋简体"/>
          <w:bCs/>
          <w:color w:val="000000"/>
          <w:kern w:val="0"/>
          <w:sz w:val="28"/>
          <w:szCs w:val="28"/>
        </w:rPr>
      </w:pPr>
      <w:r>
        <w:rPr>
          <w:rFonts w:hint="eastAsia" w:ascii="仿宋_GB2312" w:hAnsi="方正小标宋简体" w:eastAsia="仿宋_GB2312" w:cs="方正小标宋简体"/>
          <w:bCs/>
          <w:color w:val="000000"/>
          <w:kern w:val="0"/>
          <w:sz w:val="28"/>
          <w:szCs w:val="28"/>
        </w:rPr>
        <w:t>2018年下半年学生技能大赛暨家长座谈会</w:t>
      </w:r>
    </w:p>
    <w:p>
      <w:pPr>
        <w:jc w:val="center"/>
        <w:rPr>
          <w:rFonts w:ascii="仿宋_GB2312" w:hAnsi="方正小标宋简体" w:eastAsia="仿宋_GB2312" w:cs="方正小标宋简体"/>
          <w:bCs/>
          <w:color w:val="000000"/>
          <w:kern w:val="0"/>
          <w:sz w:val="28"/>
          <w:szCs w:val="28"/>
        </w:rPr>
      </w:pPr>
      <w:r>
        <w:rPr>
          <w:rFonts w:hint="eastAsia" w:ascii="仿宋_GB2312" w:hAnsi="方正小标宋简体" w:eastAsia="仿宋_GB2312" w:cs="方正小标宋简体"/>
          <w:bCs/>
          <w:color w:val="000000"/>
          <w:kern w:val="0"/>
          <w:sz w:val="28"/>
          <w:szCs w:val="28"/>
        </w:rPr>
        <w:t>方   案</w:t>
      </w:r>
    </w:p>
    <w:p>
      <w:pPr>
        <w:spacing w:line="360" w:lineRule="auto"/>
        <w:ind w:firstLine="480" w:firstLineChars="200"/>
        <w:rPr>
          <w:rFonts w:ascii="仿宋_GB2312" w:eastAsia="仿宋_GB2312"/>
          <w:color w:val="000000"/>
          <w:sz w:val="24"/>
          <w:szCs w:val="24"/>
        </w:rPr>
      </w:pPr>
      <w:r>
        <w:rPr>
          <w:rFonts w:hint="eastAsia" w:ascii="仿宋_GB2312" w:hAnsi="黑体" w:eastAsia="仿宋_GB2312" w:cs="黑体"/>
          <w:bCs/>
          <w:color w:val="000000"/>
          <w:sz w:val="24"/>
          <w:szCs w:val="24"/>
        </w:rPr>
        <w:t>一、大赛名称：</w:t>
      </w:r>
      <w:r>
        <w:rPr>
          <w:rFonts w:hint="eastAsia" w:ascii="仿宋_GB2312" w:eastAsia="仿宋_GB2312"/>
          <w:color w:val="000000"/>
          <w:sz w:val="24"/>
          <w:szCs w:val="24"/>
        </w:rPr>
        <w:t>资中县职业技术学校双龙校区2019年下半年学生技能大赛暨家长座谈会</w:t>
      </w:r>
    </w:p>
    <w:p>
      <w:pPr>
        <w:spacing w:line="360" w:lineRule="auto"/>
        <w:ind w:firstLine="480" w:firstLineChars="200"/>
        <w:rPr>
          <w:rFonts w:ascii="仿宋_GB2312" w:eastAsia="仿宋_GB2312"/>
          <w:color w:val="000000"/>
          <w:sz w:val="24"/>
          <w:szCs w:val="24"/>
        </w:rPr>
      </w:pPr>
      <w:r>
        <w:rPr>
          <w:rFonts w:hint="eastAsia" w:ascii="仿宋_GB2312" w:hAnsi="黑体" w:eastAsia="仿宋_GB2312" w:cs="黑体"/>
          <w:bCs/>
          <w:color w:val="000000"/>
          <w:sz w:val="24"/>
          <w:szCs w:val="24"/>
        </w:rPr>
        <w:t>二、竞赛时间：</w:t>
      </w:r>
      <w:r>
        <w:rPr>
          <w:rFonts w:hint="eastAsia" w:ascii="仿宋_GB2312" w:eastAsia="仿宋_GB2312"/>
          <w:color w:val="000000"/>
          <w:sz w:val="24"/>
          <w:szCs w:val="24"/>
        </w:rPr>
        <w:t>2018年12月24日</w:t>
      </w:r>
    </w:p>
    <w:p>
      <w:pPr>
        <w:spacing w:line="360" w:lineRule="auto"/>
        <w:ind w:firstLine="480" w:firstLineChars="200"/>
        <w:rPr>
          <w:rFonts w:ascii="仿宋_GB2312" w:eastAsia="仿宋_GB2312"/>
          <w:color w:val="000000"/>
          <w:sz w:val="24"/>
          <w:szCs w:val="24"/>
        </w:rPr>
      </w:pPr>
      <w:r>
        <w:rPr>
          <w:rFonts w:hint="eastAsia" w:ascii="仿宋_GB2312" w:hAnsi="黑体" w:eastAsia="仿宋_GB2312" w:cs="黑体"/>
          <w:bCs/>
          <w:color w:val="000000"/>
          <w:sz w:val="24"/>
          <w:szCs w:val="24"/>
        </w:rPr>
        <w:t>三、竞赛地点：</w:t>
      </w:r>
      <w:r>
        <w:rPr>
          <w:rFonts w:hint="eastAsia" w:ascii="仿宋_GB2312" w:eastAsia="仿宋_GB2312"/>
          <w:color w:val="000000"/>
          <w:sz w:val="24"/>
          <w:szCs w:val="24"/>
        </w:rPr>
        <w:t>双龙职中内操场</w:t>
      </w:r>
    </w:p>
    <w:p>
      <w:pPr>
        <w:spacing w:line="360" w:lineRule="auto"/>
        <w:ind w:firstLine="480" w:firstLineChars="200"/>
        <w:rPr>
          <w:rFonts w:ascii="仿宋_GB2312" w:hAnsi="黑体" w:eastAsia="仿宋_GB2312" w:cs="黑体"/>
          <w:bCs/>
          <w:color w:val="000000"/>
          <w:sz w:val="24"/>
          <w:szCs w:val="24"/>
        </w:rPr>
      </w:pPr>
      <w:r>
        <w:rPr>
          <w:rFonts w:hint="eastAsia" w:ascii="仿宋_GB2312" w:hAnsi="黑体" w:eastAsia="仿宋_GB2312" w:cs="黑体"/>
          <w:bCs/>
          <w:color w:val="000000"/>
          <w:sz w:val="24"/>
          <w:szCs w:val="24"/>
        </w:rPr>
        <w:t>四、组织机构</w:t>
      </w:r>
    </w:p>
    <w:p>
      <w:pPr>
        <w:spacing w:line="360" w:lineRule="auto"/>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成立“</w:t>
      </w:r>
      <w:r>
        <w:rPr>
          <w:rFonts w:hint="eastAsia" w:ascii="仿宋_GB2312" w:eastAsia="仿宋_GB2312"/>
          <w:color w:val="000000"/>
          <w:sz w:val="24"/>
          <w:szCs w:val="24"/>
        </w:rPr>
        <w:t>资中县职业技术学校双龙校区2018年下半年学生技能大赛暨家长座谈会</w:t>
      </w:r>
      <w:r>
        <w:rPr>
          <w:rFonts w:hint="eastAsia" w:ascii="仿宋_GB2312" w:hAnsi="宋体" w:eastAsia="仿宋_GB2312"/>
          <w:color w:val="000000"/>
          <w:sz w:val="24"/>
          <w:szCs w:val="24"/>
        </w:rPr>
        <w:t>”工作领导小组：</w:t>
      </w:r>
    </w:p>
    <w:p>
      <w:pPr>
        <w:spacing w:line="360" w:lineRule="auto"/>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组  长：邓盛斌</w:t>
      </w:r>
    </w:p>
    <w:p>
      <w:pPr>
        <w:spacing w:line="360" w:lineRule="auto"/>
        <w:ind w:firstLine="480" w:firstLineChars="200"/>
        <w:rPr>
          <w:rFonts w:ascii="仿宋_GB2312" w:hAnsi="宋体" w:eastAsia="仿宋_GB2312"/>
          <w:color w:val="000000"/>
          <w:sz w:val="24"/>
          <w:szCs w:val="24"/>
        </w:rPr>
      </w:pPr>
      <w:r>
        <w:rPr>
          <w:rFonts w:hint="eastAsia" w:ascii="仿宋_GB2312" w:hAnsi="宋体" w:eastAsia="仿宋_GB2312"/>
          <w:color w:val="000000"/>
          <w:sz w:val="24"/>
          <w:szCs w:val="24"/>
        </w:rPr>
        <w:t>副组长：李向阳、林伟、邓佐俊</w:t>
      </w:r>
    </w:p>
    <w:p>
      <w:pPr>
        <w:spacing w:line="360" w:lineRule="auto"/>
        <w:rPr>
          <w:rFonts w:ascii="仿宋_GB2312" w:hAnsi="none" w:eastAsia="仿宋_GB2312"/>
          <w:color w:val="000000"/>
          <w:sz w:val="24"/>
          <w:szCs w:val="24"/>
        </w:rPr>
      </w:pPr>
      <w:r>
        <w:rPr>
          <w:rFonts w:hint="eastAsia" w:ascii="仿宋_GB2312" w:hAnsi="宋体" w:eastAsia="仿宋_GB2312"/>
          <w:color w:val="000000"/>
          <w:sz w:val="24"/>
          <w:szCs w:val="24"/>
        </w:rPr>
        <w:t>　　成  员：石声午、罗显金、傅洪成、各专业部负责人、职高部各班班主任</w:t>
      </w:r>
    </w:p>
    <w:p>
      <w:pPr>
        <w:spacing w:line="360" w:lineRule="auto"/>
        <w:ind w:firstLine="470" w:firstLineChars="196"/>
        <w:rPr>
          <w:rFonts w:ascii="仿宋_GB2312" w:hAnsi="黑体" w:eastAsia="仿宋_GB2312" w:cs="黑体"/>
          <w:bCs/>
          <w:color w:val="000000"/>
          <w:sz w:val="24"/>
          <w:szCs w:val="24"/>
        </w:rPr>
      </w:pPr>
      <w:r>
        <w:rPr>
          <w:rFonts w:hint="eastAsia" w:ascii="仿宋_GB2312" w:hAnsi="黑体" w:eastAsia="仿宋_GB2312" w:cs="黑体"/>
          <w:bCs/>
          <w:color w:val="000000"/>
          <w:sz w:val="24"/>
          <w:szCs w:val="24"/>
        </w:rPr>
        <w:t>五、活动流程</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1、8:30举行开幕仪式。学校领导讲话、中厨才艺展示、美食节。</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2、9:20开始比赛。各班主任引领家长参观比赛现场。</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3、10:00召开家长会。学校领导讲话。学生代表、家长代表发言。</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4、10:30召开班级家长会。由各班主任引领家长到各自教室。</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5、11:30家长会结束。</w:t>
      </w:r>
    </w:p>
    <w:p>
      <w:pPr>
        <w:spacing w:line="360" w:lineRule="auto"/>
        <w:ind w:firstLine="470" w:firstLineChars="196"/>
        <w:rPr>
          <w:rFonts w:ascii="仿宋_GB2312" w:eastAsia="仿宋_GB2312"/>
          <w:color w:val="000000"/>
          <w:sz w:val="24"/>
          <w:szCs w:val="24"/>
        </w:rPr>
      </w:pPr>
      <w:r>
        <w:rPr>
          <w:rFonts w:hint="eastAsia" w:ascii="仿宋_GB2312" w:hAnsi="黑体" w:eastAsia="仿宋_GB2312" w:cs="黑体"/>
          <w:bCs/>
          <w:color w:val="000000"/>
          <w:sz w:val="24"/>
          <w:szCs w:val="24"/>
        </w:rPr>
        <w:t>六、竞赛项目：</w:t>
      </w:r>
      <w:r>
        <w:rPr>
          <w:rFonts w:hint="eastAsia" w:ascii="仿宋_GB2312" w:eastAsia="仿宋_GB2312"/>
          <w:color w:val="000000"/>
          <w:sz w:val="24"/>
          <w:szCs w:val="24"/>
        </w:rPr>
        <w:t>本次大赛竞赛项目共设置</w:t>
      </w:r>
      <w:r>
        <w:rPr>
          <w:rFonts w:hint="eastAsia" w:ascii="仿宋_GB2312" w:hAnsi="仿宋_GB2312" w:eastAsia="仿宋_GB2312" w:cs="仿宋_GB2312"/>
          <w:color w:val="000000"/>
          <w:sz w:val="24"/>
          <w:szCs w:val="24"/>
        </w:rPr>
        <w:t>机械加工类、</w:t>
      </w:r>
      <w:r>
        <w:rPr>
          <w:rFonts w:hint="eastAsia" w:ascii="仿宋_GB2312" w:eastAsia="仿宋_GB2312"/>
          <w:color w:val="000000"/>
          <w:sz w:val="24"/>
          <w:szCs w:val="24"/>
        </w:rPr>
        <w:t>汽车维修类、计算机操作类、</w:t>
      </w:r>
      <w:r>
        <w:rPr>
          <w:rFonts w:hint="eastAsia" w:ascii="仿宋_GB2312" w:hAnsi="仿宋_GB2312" w:eastAsia="仿宋_GB2312" w:cs="仿宋_GB2312"/>
          <w:color w:val="000000"/>
          <w:sz w:val="24"/>
          <w:szCs w:val="24"/>
        </w:rPr>
        <w:t>农经</w:t>
      </w:r>
      <w:r>
        <w:rPr>
          <w:rFonts w:hint="eastAsia" w:ascii="仿宋_GB2312" w:eastAsia="仿宋_GB2312"/>
          <w:color w:val="000000"/>
          <w:sz w:val="24"/>
          <w:szCs w:val="24"/>
        </w:rPr>
        <w:t>类，旅游类共计14个竞赛项目。</w:t>
      </w:r>
    </w:p>
    <w:p>
      <w:pPr>
        <w:spacing w:line="360" w:lineRule="auto"/>
        <w:ind w:firstLine="480" w:firstLineChars="200"/>
        <w:rPr>
          <w:rFonts w:ascii="仿宋_GB2312" w:hAnsi="楷体_GB2312" w:eastAsia="仿宋_GB2312" w:cs="楷体_GB2312"/>
          <w:bCs/>
          <w:color w:val="000000"/>
          <w:sz w:val="24"/>
          <w:szCs w:val="24"/>
        </w:rPr>
      </w:pPr>
      <w:r>
        <w:rPr>
          <w:rFonts w:hint="eastAsia" w:ascii="仿宋_GB2312" w:hAnsi="楷体_GB2312" w:eastAsia="仿宋_GB2312" w:cs="楷体_GB2312"/>
          <w:bCs/>
          <w:color w:val="000000"/>
          <w:sz w:val="24"/>
          <w:szCs w:val="24"/>
        </w:rPr>
        <w:t>（一）机械加工类</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1、比赛项目3项：</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钳工操作、普通车床操作、机械制图</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2、组队要求：各班每个项目限报15人。</w:t>
      </w:r>
    </w:p>
    <w:p>
      <w:pPr>
        <w:spacing w:line="360" w:lineRule="auto"/>
        <w:ind w:firstLine="480" w:firstLineChars="200"/>
        <w:rPr>
          <w:rFonts w:ascii="仿宋_GB2312" w:hAnsi="楷体_GB2312" w:eastAsia="仿宋_GB2312" w:cs="楷体_GB2312"/>
          <w:bCs/>
          <w:color w:val="000000"/>
          <w:sz w:val="24"/>
          <w:szCs w:val="24"/>
        </w:rPr>
      </w:pPr>
      <w:r>
        <w:rPr>
          <w:rFonts w:hint="eastAsia" w:ascii="仿宋_GB2312" w:hAnsi="楷体_GB2312" w:eastAsia="仿宋_GB2312" w:cs="楷体_GB2312"/>
          <w:bCs/>
          <w:color w:val="000000"/>
          <w:sz w:val="24"/>
          <w:szCs w:val="24"/>
        </w:rPr>
        <w:t>（二）汽车维修类</w:t>
      </w:r>
    </w:p>
    <w:p>
      <w:pPr>
        <w:spacing w:line="360" w:lineRule="auto"/>
        <w:ind w:firstLine="480" w:firstLineChars="200"/>
        <w:rPr>
          <w:rFonts w:ascii="仿宋_GB2312" w:hAnsi="楷体_GB2312" w:eastAsia="仿宋_GB2312" w:cs="楷体_GB2312"/>
          <w:color w:val="000000"/>
          <w:sz w:val="24"/>
          <w:szCs w:val="24"/>
        </w:rPr>
      </w:pPr>
      <w:r>
        <w:rPr>
          <w:rFonts w:hint="eastAsia" w:ascii="仿宋_GB2312" w:hAnsi="楷体_GB2312" w:eastAsia="仿宋_GB2312" w:cs="楷体_GB2312"/>
          <w:color w:val="000000"/>
          <w:sz w:val="24"/>
          <w:szCs w:val="24"/>
        </w:rPr>
        <w:t>1、比赛项目2项</w:t>
      </w:r>
    </w:p>
    <w:p>
      <w:pPr>
        <w:spacing w:line="360" w:lineRule="auto"/>
        <w:ind w:firstLine="480" w:firstLineChars="200"/>
        <w:rPr>
          <w:rFonts w:ascii="仿宋_GB2312" w:hAnsi="楷体_GB2312" w:eastAsia="仿宋_GB2312" w:cs="楷体_GB2312"/>
          <w:color w:val="000000"/>
          <w:sz w:val="24"/>
          <w:szCs w:val="24"/>
        </w:rPr>
      </w:pPr>
      <w:r>
        <w:rPr>
          <w:rFonts w:hint="eastAsia" w:ascii="仿宋_GB2312" w:hAnsi="楷体_GB2312" w:eastAsia="仿宋_GB2312" w:cs="楷体_GB2312"/>
          <w:color w:val="000000"/>
          <w:sz w:val="24"/>
          <w:szCs w:val="24"/>
        </w:rPr>
        <w:t>汽车机械维修、汽车喷涂</w:t>
      </w:r>
    </w:p>
    <w:p>
      <w:pPr>
        <w:spacing w:line="360" w:lineRule="auto"/>
        <w:ind w:firstLine="480" w:firstLineChars="200"/>
        <w:rPr>
          <w:rFonts w:ascii="仿宋_GB2312" w:hAnsi="楷体_GB2312" w:eastAsia="仿宋_GB2312" w:cs="楷体_GB2312"/>
          <w:color w:val="000000"/>
          <w:sz w:val="24"/>
          <w:szCs w:val="24"/>
        </w:rPr>
      </w:pPr>
      <w:r>
        <w:rPr>
          <w:rFonts w:hint="eastAsia" w:ascii="仿宋_GB2312" w:hAnsi="楷体_GB2312" w:eastAsia="仿宋_GB2312" w:cs="楷体_GB2312"/>
          <w:color w:val="000000"/>
          <w:sz w:val="24"/>
          <w:szCs w:val="24"/>
        </w:rPr>
        <w:t>2、组队要求：各班每个项目限报15人。</w:t>
      </w:r>
    </w:p>
    <w:p>
      <w:pPr>
        <w:spacing w:line="360" w:lineRule="auto"/>
        <w:ind w:firstLine="480" w:firstLineChars="200"/>
        <w:rPr>
          <w:rFonts w:ascii="仿宋_GB2312" w:hAnsi="楷体_GB2312" w:eastAsia="仿宋_GB2312" w:cs="楷体_GB2312"/>
          <w:bCs/>
          <w:color w:val="000000"/>
          <w:sz w:val="24"/>
          <w:szCs w:val="24"/>
        </w:rPr>
      </w:pPr>
      <w:r>
        <w:rPr>
          <w:rFonts w:hint="eastAsia" w:ascii="仿宋_GB2312" w:hAnsi="楷体_GB2312" w:eastAsia="仿宋_GB2312" w:cs="楷体_GB2312"/>
          <w:bCs/>
          <w:color w:val="000000"/>
          <w:sz w:val="24"/>
          <w:szCs w:val="24"/>
        </w:rPr>
        <w:t>（三）计算机操作类</w:t>
      </w:r>
    </w:p>
    <w:p>
      <w:pPr>
        <w:spacing w:line="360" w:lineRule="auto"/>
        <w:ind w:firstLine="480" w:firstLineChars="200"/>
        <w:rPr>
          <w:rFonts w:ascii="仿宋_GB2312" w:hAnsi="楷体_GB2312" w:eastAsia="仿宋_GB2312" w:cs="楷体_GB2312"/>
          <w:color w:val="000000"/>
          <w:sz w:val="24"/>
          <w:szCs w:val="24"/>
        </w:rPr>
      </w:pPr>
      <w:r>
        <w:rPr>
          <w:rFonts w:hint="eastAsia" w:ascii="仿宋_GB2312" w:hAnsi="楷体_GB2312" w:eastAsia="仿宋_GB2312" w:cs="楷体_GB2312"/>
          <w:color w:val="000000"/>
          <w:sz w:val="24"/>
          <w:szCs w:val="24"/>
        </w:rPr>
        <w:t>1、比赛项目2项</w:t>
      </w:r>
    </w:p>
    <w:p>
      <w:pPr>
        <w:spacing w:line="360" w:lineRule="auto"/>
        <w:ind w:firstLine="480" w:firstLineChars="200"/>
        <w:rPr>
          <w:rFonts w:ascii="仿宋_GB2312" w:hAnsi="楷体_GB2312" w:eastAsia="仿宋_GB2312" w:cs="楷体_GB2312"/>
          <w:color w:val="000000"/>
          <w:sz w:val="24"/>
          <w:szCs w:val="24"/>
        </w:rPr>
      </w:pPr>
      <w:r>
        <w:rPr>
          <w:rFonts w:hint="eastAsia" w:ascii="仿宋_GB2312" w:hAnsi="楷体_GB2312" w:eastAsia="仿宋_GB2312" w:cs="楷体_GB2312"/>
          <w:color w:val="000000"/>
          <w:sz w:val="24"/>
          <w:szCs w:val="24"/>
        </w:rPr>
        <w:t>汉字录入、计算机组装</w:t>
      </w:r>
    </w:p>
    <w:p>
      <w:pPr>
        <w:spacing w:line="360" w:lineRule="auto"/>
        <w:ind w:firstLine="480" w:firstLineChars="200"/>
        <w:rPr>
          <w:rFonts w:ascii="仿宋_GB2312" w:hAnsi="楷体_GB2312" w:eastAsia="仿宋_GB2312" w:cs="楷体_GB2312"/>
          <w:color w:val="000000"/>
          <w:sz w:val="24"/>
          <w:szCs w:val="24"/>
        </w:rPr>
      </w:pPr>
      <w:r>
        <w:rPr>
          <w:rFonts w:hint="eastAsia" w:ascii="仿宋_GB2312" w:hAnsi="楷体_GB2312" w:eastAsia="仿宋_GB2312" w:cs="楷体_GB2312"/>
          <w:color w:val="000000"/>
          <w:sz w:val="24"/>
          <w:szCs w:val="24"/>
        </w:rPr>
        <w:t>2、组队要求：各班每个项目限报15人。</w:t>
      </w:r>
    </w:p>
    <w:p>
      <w:pPr>
        <w:spacing w:line="360" w:lineRule="auto"/>
        <w:ind w:firstLine="480" w:firstLineChars="200"/>
        <w:rPr>
          <w:rFonts w:ascii="仿宋_GB2312" w:hAnsi="楷体_GB2312" w:eastAsia="仿宋_GB2312" w:cs="楷体_GB2312"/>
          <w:bCs/>
          <w:color w:val="000000"/>
          <w:sz w:val="24"/>
          <w:szCs w:val="24"/>
        </w:rPr>
      </w:pPr>
      <w:r>
        <w:rPr>
          <w:rFonts w:hint="eastAsia" w:ascii="仿宋_GB2312" w:hAnsi="楷体_GB2312" w:eastAsia="仿宋_GB2312" w:cs="楷体_GB2312"/>
          <w:bCs/>
          <w:color w:val="000000"/>
          <w:sz w:val="24"/>
          <w:szCs w:val="24"/>
        </w:rPr>
        <w:t>（四）农经类</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1、比赛项目2项</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血涂片制作、显微镜</w:t>
      </w:r>
    </w:p>
    <w:p>
      <w:pPr>
        <w:spacing w:line="360" w:lineRule="auto"/>
        <w:ind w:firstLine="480" w:firstLineChars="200"/>
        <w:rPr>
          <w:rFonts w:ascii="仿宋_GB2312" w:hAnsi="仿宋_GB2312" w:eastAsia="仿宋_GB2312" w:cs="仿宋_GB2312"/>
          <w:color w:val="000000"/>
          <w:spacing w:val="-11"/>
          <w:sz w:val="24"/>
          <w:szCs w:val="24"/>
        </w:rPr>
      </w:pPr>
      <w:r>
        <w:rPr>
          <w:rFonts w:hint="eastAsia" w:ascii="仿宋_GB2312" w:hAnsi="仿宋_GB2312" w:eastAsia="仿宋_GB2312" w:cs="仿宋_GB2312"/>
          <w:color w:val="000000"/>
          <w:sz w:val="24"/>
          <w:szCs w:val="24"/>
        </w:rPr>
        <w:t>2、组队要</w:t>
      </w:r>
      <w:r>
        <w:rPr>
          <w:rFonts w:hint="eastAsia" w:ascii="仿宋_GB2312" w:hAnsi="仿宋_GB2312" w:eastAsia="仿宋_GB2312" w:cs="仿宋_GB2312"/>
          <w:color w:val="000000"/>
          <w:spacing w:val="-11"/>
          <w:sz w:val="24"/>
          <w:szCs w:val="24"/>
        </w:rPr>
        <w:t>求：由科任教师确定参赛人员，每个项目不超过15人。</w:t>
      </w:r>
    </w:p>
    <w:p>
      <w:pPr>
        <w:spacing w:line="360" w:lineRule="auto"/>
        <w:ind w:firstLine="480" w:firstLineChars="200"/>
        <w:rPr>
          <w:rFonts w:ascii="仿宋_GB2312" w:hAnsi="楷体_GB2312" w:eastAsia="仿宋_GB2312" w:cs="楷体_GB2312"/>
          <w:bCs/>
          <w:color w:val="000000"/>
          <w:sz w:val="24"/>
          <w:szCs w:val="24"/>
        </w:rPr>
      </w:pPr>
      <w:r>
        <w:rPr>
          <w:rFonts w:hint="eastAsia" w:ascii="仿宋_GB2312" w:hAnsi="楷体_GB2312" w:eastAsia="仿宋_GB2312" w:cs="楷体_GB2312"/>
          <w:bCs/>
          <w:color w:val="000000"/>
          <w:sz w:val="24"/>
          <w:szCs w:val="24"/>
        </w:rPr>
        <w:t>（五）旅游类</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1、比赛项目1项</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导游</w:t>
      </w:r>
    </w:p>
    <w:p>
      <w:pPr>
        <w:spacing w:line="360" w:lineRule="auto"/>
        <w:ind w:firstLine="480" w:firstLineChars="20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2、组队要</w:t>
      </w:r>
      <w:r>
        <w:rPr>
          <w:rFonts w:hint="eastAsia" w:ascii="仿宋_GB2312" w:hAnsi="仿宋_GB2312" w:eastAsia="仿宋_GB2312" w:cs="仿宋_GB2312"/>
          <w:color w:val="000000"/>
          <w:spacing w:val="-11"/>
          <w:sz w:val="24"/>
          <w:szCs w:val="24"/>
        </w:rPr>
        <w:t>求：由科任教师确定参赛人员，项目不超过15人。</w:t>
      </w:r>
    </w:p>
    <w:p>
      <w:pPr>
        <w:spacing w:line="360" w:lineRule="auto"/>
        <w:ind w:firstLine="480" w:firstLineChars="200"/>
        <w:rPr>
          <w:rFonts w:ascii="仿宋_GB2312" w:hAnsi="黑体" w:eastAsia="仿宋_GB2312" w:cs="黑体"/>
          <w:bCs/>
          <w:color w:val="000000"/>
          <w:sz w:val="24"/>
          <w:szCs w:val="24"/>
        </w:rPr>
      </w:pPr>
      <w:r>
        <w:rPr>
          <w:rFonts w:hint="eastAsia" w:ascii="仿宋_GB2312" w:hAnsi="黑体" w:eastAsia="仿宋_GB2312" w:cs="黑体"/>
          <w:bCs/>
          <w:color w:val="000000"/>
          <w:sz w:val="24"/>
          <w:szCs w:val="24"/>
        </w:rPr>
        <w:t>六、竞赛组织方式：</w:t>
      </w:r>
      <w:r>
        <w:rPr>
          <w:rFonts w:hint="eastAsia" w:ascii="仿宋_GB2312" w:eastAsia="仿宋_GB2312"/>
          <w:color w:val="000000"/>
          <w:sz w:val="24"/>
          <w:szCs w:val="24"/>
        </w:rPr>
        <w:t>由工作领导小组组织，各竞赛项目指导老师具体负责。</w:t>
      </w:r>
    </w:p>
    <w:p>
      <w:pPr>
        <w:spacing w:line="360" w:lineRule="auto"/>
        <w:ind w:firstLine="480" w:firstLineChars="200"/>
        <w:rPr>
          <w:rFonts w:ascii="仿宋_GB2312" w:hAnsi="黑体" w:eastAsia="仿宋_GB2312" w:cs="黑体"/>
          <w:bCs/>
          <w:color w:val="000000"/>
          <w:sz w:val="24"/>
          <w:szCs w:val="24"/>
        </w:rPr>
      </w:pPr>
      <w:r>
        <w:rPr>
          <w:rFonts w:hint="eastAsia" w:ascii="仿宋_GB2312" w:hAnsi="黑体" w:eastAsia="仿宋_GB2312" w:cs="黑体"/>
          <w:bCs/>
          <w:color w:val="000000"/>
          <w:sz w:val="24"/>
          <w:szCs w:val="24"/>
        </w:rPr>
        <w:t>七、竞赛日程安排：</w:t>
      </w:r>
    </w:p>
    <w:tbl>
      <w:tblPr>
        <w:tblStyle w:val="31"/>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2235"/>
        <w:gridCol w:w="210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日期</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项目</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地点</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钳工操作</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钳工实训室</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罗家利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车工操作</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车工实训室</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蔡循光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机械制图</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大会议室</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李洁丽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汽车维修</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内操场</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黄蜀青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喷涂</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汽修实训室</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陈伟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汉字录入</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计算机实训室</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唐基根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计算机组装</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内操场</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肖亨利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导游</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内操场</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谢治忠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电工接线</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内操场</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黄萍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血涂片制作</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内操场</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双麟琳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电子产品检测</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内操场</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显微镜</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内操场</w:t>
            </w:r>
          </w:p>
        </w:tc>
        <w:tc>
          <w:tcPr>
            <w:tcW w:w="160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车安素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7"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12.12</w:t>
            </w:r>
          </w:p>
        </w:tc>
        <w:tc>
          <w:tcPr>
            <w:tcW w:w="2235"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中厨展示</w:t>
            </w:r>
          </w:p>
        </w:tc>
        <w:tc>
          <w:tcPr>
            <w:tcW w:w="2100" w:type="dxa"/>
          </w:tcPr>
          <w:p>
            <w:pPr>
              <w:spacing w:line="360" w:lineRule="auto"/>
              <w:rPr>
                <w:rFonts w:ascii="仿宋_GB2312" w:hAnsi="宋体" w:eastAsia="仿宋_GB2312" w:cs="宋体"/>
                <w:bCs/>
                <w:color w:val="000000"/>
                <w:sz w:val="24"/>
                <w:szCs w:val="24"/>
              </w:rPr>
            </w:pPr>
            <w:r>
              <w:rPr>
                <w:rFonts w:hint="eastAsia" w:ascii="仿宋_GB2312" w:hAnsi="宋体" w:eastAsia="仿宋_GB2312" w:cs="宋体"/>
                <w:bCs/>
                <w:color w:val="000000"/>
                <w:sz w:val="24"/>
                <w:szCs w:val="24"/>
              </w:rPr>
              <w:t>内操场</w:t>
            </w:r>
          </w:p>
        </w:tc>
        <w:tc>
          <w:tcPr>
            <w:tcW w:w="1605" w:type="dxa"/>
          </w:tcPr>
          <w:p>
            <w:pPr>
              <w:spacing w:line="360" w:lineRule="auto"/>
              <w:rPr>
                <w:rFonts w:ascii="仿宋_GB2312" w:hAnsi="宋体" w:eastAsia="仿宋_GB2312" w:cs="宋体"/>
                <w:bCs/>
                <w:color w:val="000000"/>
                <w:sz w:val="24"/>
                <w:szCs w:val="24"/>
              </w:rPr>
            </w:pPr>
          </w:p>
        </w:tc>
      </w:tr>
    </w:tbl>
    <w:p>
      <w:pPr>
        <w:spacing w:line="360" w:lineRule="auto"/>
        <w:ind w:firstLine="480" w:firstLineChars="200"/>
        <w:rPr>
          <w:rFonts w:ascii="仿宋_GB2312" w:hAnsi="黑体" w:eastAsia="仿宋_GB2312" w:cs="黑体"/>
          <w:bCs/>
          <w:color w:val="000000"/>
          <w:sz w:val="24"/>
          <w:szCs w:val="24"/>
        </w:rPr>
      </w:pPr>
      <w:r>
        <w:rPr>
          <w:rFonts w:hint="eastAsia" w:ascii="仿宋_GB2312" w:hAnsi="黑体" w:eastAsia="仿宋_GB2312" w:cs="黑体"/>
          <w:bCs/>
          <w:color w:val="000000"/>
          <w:sz w:val="24"/>
          <w:szCs w:val="24"/>
        </w:rPr>
        <w:t>八、奖励办法</w:t>
      </w:r>
    </w:p>
    <w:p>
      <w:pPr>
        <w:spacing w:line="360" w:lineRule="auto"/>
        <w:ind w:firstLine="480" w:firstLineChars="200"/>
        <w:jc w:val="left"/>
        <w:rPr>
          <w:rFonts w:ascii="仿宋_GB2312" w:hAnsi="宋体" w:eastAsia="仿宋_GB2312"/>
          <w:color w:val="000000"/>
          <w:kern w:val="0"/>
          <w:sz w:val="24"/>
          <w:szCs w:val="24"/>
        </w:rPr>
      </w:pPr>
      <w:r>
        <w:rPr>
          <w:rFonts w:hint="eastAsia" w:ascii="仿宋_GB2312" w:hAnsi="宋体" w:eastAsia="仿宋_GB2312"/>
          <w:color w:val="000000"/>
          <w:sz w:val="24"/>
          <w:szCs w:val="24"/>
        </w:rPr>
        <w:t>1、</w:t>
      </w:r>
      <w:r>
        <w:rPr>
          <w:rFonts w:hint="eastAsia" w:ascii="仿宋_GB2312" w:eastAsia="仿宋_GB2312"/>
          <w:color w:val="000000"/>
          <w:sz w:val="24"/>
          <w:szCs w:val="24"/>
        </w:rPr>
        <w:t>每个项目按规程达到合格以上，依据参赛学生数量，按5%设立一等奖，10%设立二等奖，25%设立三等奖；根据</w:t>
      </w:r>
      <w:r>
        <w:rPr>
          <w:rFonts w:hint="eastAsia" w:ascii="仿宋_GB2312" w:hAnsi="宋体" w:eastAsia="仿宋_GB2312"/>
          <w:color w:val="000000"/>
          <w:sz w:val="24"/>
          <w:szCs w:val="24"/>
        </w:rPr>
        <w:t>各班级组织参赛及获奖情况评选优秀组织奖。</w:t>
      </w:r>
    </w:p>
    <w:p>
      <w:pPr>
        <w:spacing w:line="360" w:lineRule="auto"/>
        <w:ind w:firstLine="480" w:firstLineChars="200"/>
        <w:rPr>
          <w:rFonts w:ascii="仿宋_GB2312" w:eastAsia="仿宋_GB2312"/>
          <w:color w:val="000000"/>
          <w:sz w:val="24"/>
          <w:szCs w:val="24"/>
        </w:rPr>
      </w:pPr>
      <w:r>
        <w:rPr>
          <w:rFonts w:hint="eastAsia" w:ascii="仿宋_GB2312" w:eastAsia="仿宋_GB2312"/>
          <w:color w:val="000000"/>
          <w:sz w:val="24"/>
          <w:szCs w:val="24"/>
        </w:rPr>
        <w:t>2、本次大赛将对获组织奖的班级和个人颁发奖证和荣誉证书。</w:t>
      </w:r>
    </w:p>
    <w:p>
      <w:pPr>
        <w:spacing w:line="360" w:lineRule="auto"/>
        <w:ind w:firstLine="480" w:firstLineChars="200"/>
        <w:jc w:val="left"/>
        <w:rPr>
          <w:rFonts w:ascii="仿宋_GB2312" w:eastAsia="仿宋_GB2312"/>
          <w:color w:val="000000"/>
          <w:sz w:val="24"/>
          <w:szCs w:val="24"/>
        </w:rPr>
      </w:pPr>
      <w:r>
        <w:rPr>
          <w:rFonts w:hint="eastAsia" w:ascii="仿宋_GB2312" w:eastAsia="仿宋_GB2312"/>
          <w:color w:val="000000"/>
          <w:sz w:val="24"/>
          <w:szCs w:val="24"/>
        </w:rPr>
        <w:t>3、教学紧扣综合素养提升</w:t>
      </w:r>
    </w:p>
    <w:p>
      <w:pPr>
        <w:spacing w:line="360" w:lineRule="auto"/>
        <w:ind w:firstLine="480" w:firstLineChars="200"/>
        <w:jc w:val="left"/>
        <w:rPr>
          <w:rFonts w:ascii="仿宋_GB2312" w:eastAsia="仿宋_GB2312"/>
          <w:color w:val="000000"/>
          <w:sz w:val="24"/>
          <w:szCs w:val="24"/>
        </w:rPr>
      </w:pPr>
      <w:r>
        <w:rPr>
          <w:rFonts w:hint="eastAsia" w:ascii="仿宋_GB2312" w:eastAsia="仿宋_GB2312"/>
          <w:color w:val="000000"/>
          <w:sz w:val="24"/>
          <w:szCs w:val="24"/>
        </w:rPr>
        <w:t>（1）学科渗透德育：学校要求每学科教学中设立德育目标，在培养学生思想道德素质上绝不松懈，为学生终身发展打下坚实的思想基础，重点是推行课程思政，在学科教学中加强对学生爱国主义教育、社会主义核心价值观教育、中华传统美德教育、在实训中重点融入大国工匠精神培养。</w:t>
      </w:r>
    </w:p>
    <w:p>
      <w:pPr>
        <w:spacing w:line="360" w:lineRule="auto"/>
        <w:ind w:firstLine="480" w:firstLineChars="200"/>
        <w:jc w:val="left"/>
        <w:rPr>
          <w:rFonts w:ascii="仿宋_GB2312" w:eastAsia="仿宋_GB2312"/>
          <w:color w:val="000000"/>
          <w:sz w:val="24"/>
          <w:szCs w:val="24"/>
        </w:rPr>
      </w:pPr>
      <w:r>
        <w:rPr>
          <w:rFonts w:hint="eastAsia" w:ascii="仿宋_GB2312" w:eastAsia="仿宋_GB2312"/>
          <w:color w:val="000000"/>
          <w:sz w:val="24"/>
          <w:szCs w:val="24"/>
        </w:rPr>
        <w:t>（2）改革晚自习教学：为了进一步将提升学生综合素养落到实处，学校对晚自习教学进行改革，每周安排了两个技能之夜，一个书法之夜，一个活动之夜，有效提升了学生的综合素养。</w:t>
      </w:r>
    </w:p>
    <w:p>
      <w:pPr>
        <w:spacing w:line="360" w:lineRule="auto"/>
        <w:ind w:firstLine="480" w:firstLineChars="200"/>
        <w:jc w:val="left"/>
        <w:rPr>
          <w:rFonts w:ascii="仿宋_GB2312" w:eastAsia="仿宋_GB2312"/>
          <w:color w:val="000000"/>
          <w:sz w:val="24"/>
          <w:szCs w:val="24"/>
        </w:rPr>
      </w:pPr>
      <w:r>
        <w:rPr>
          <w:rFonts w:hint="eastAsia" w:ascii="仿宋_GB2312" w:eastAsia="仿宋_GB2312"/>
          <w:color w:val="000000"/>
          <w:sz w:val="24"/>
          <w:szCs w:val="24"/>
        </w:rPr>
        <w:t>4、信息化建设推动课程体系完善</w:t>
      </w:r>
    </w:p>
    <w:p>
      <w:pPr>
        <w:spacing w:line="360" w:lineRule="auto"/>
        <w:ind w:firstLine="480" w:firstLineChars="200"/>
        <w:jc w:val="left"/>
        <w:rPr>
          <w:rFonts w:ascii="仿宋_GB2312" w:eastAsia="仿宋_GB2312"/>
          <w:color w:val="000000"/>
          <w:sz w:val="24"/>
          <w:szCs w:val="24"/>
        </w:rPr>
      </w:pPr>
      <w:r>
        <w:rPr>
          <w:rFonts w:hint="eastAsia" w:ascii="仿宋_GB2312" w:eastAsia="仿宋_GB2312"/>
          <w:color w:val="000000"/>
          <w:sz w:val="24"/>
          <w:szCs w:val="24"/>
        </w:rPr>
        <w:t>2019年投入信息化建设资金330万元，进行信息化建设，加强数字校园建设，完善了两个校区的网络基础，新建中心机房，优化了教学平台和管理平台，加强师生信息化运用水平提升，促进了信息技术与教育教学深度融合。</w:t>
      </w:r>
    </w:p>
    <w:p>
      <w:pPr>
        <w:spacing w:line="360" w:lineRule="auto"/>
        <w:ind w:firstLine="480" w:firstLineChars="200"/>
        <w:jc w:val="left"/>
        <w:rPr>
          <w:rFonts w:ascii="仿宋_GB2312" w:eastAsia="仿宋_GB2312"/>
          <w:color w:val="000000"/>
          <w:sz w:val="24"/>
          <w:szCs w:val="24"/>
        </w:rPr>
      </w:pPr>
      <w:r>
        <w:rPr>
          <w:rFonts w:hint="eastAsia" w:ascii="仿宋_GB2312" w:eastAsia="仿宋_GB2312"/>
          <w:color w:val="000000"/>
          <w:sz w:val="24"/>
          <w:szCs w:val="24"/>
        </w:rPr>
        <w:t>5、构建评价机制，推进课程落实</w:t>
      </w:r>
    </w:p>
    <w:p>
      <w:pPr>
        <w:spacing w:line="360" w:lineRule="auto"/>
        <w:ind w:firstLine="480" w:firstLineChars="200"/>
        <w:jc w:val="left"/>
        <w:rPr>
          <w:rFonts w:ascii="仿宋_GB2312" w:eastAsia="仿宋_GB2312"/>
          <w:color w:val="000000"/>
          <w:sz w:val="28"/>
          <w:szCs w:val="32"/>
        </w:rPr>
      </w:pPr>
      <w:r>
        <w:rPr>
          <w:rFonts w:hint="eastAsia" w:ascii="仿宋_GB2312" w:eastAsia="仿宋_GB2312"/>
          <w:color w:val="000000"/>
          <w:sz w:val="24"/>
          <w:szCs w:val="24"/>
        </w:rPr>
        <w:t>在评价方式上，学校采取理论知识、实训、创新能力以及综合能力过关考核办法，建立了完整、具体的考核标准。学校建立了以课程评价标准为载体，以校内评价和社会评价相结合，师生评价与用人单位评价相结合的个性化的课程质量评价体系；开展听课、教师评学、学生评教、行政评教等评价活动，充分利用好教学反馈制度，实行教、学互促，推进课程落实。填写《课堂教学记录表》和《作业布置、批改记录表》，收集师生建议，反馈给学校和教师，达到较好的效果。</w:t>
      </w:r>
    </w:p>
    <w:p>
      <w:pPr>
        <w:ind w:firstLine="480" w:firstLineChars="200"/>
        <w:jc w:val="left"/>
        <w:rPr>
          <w:rFonts w:ascii="仿宋_GB2312" w:eastAsia="仿宋_GB2312"/>
          <w:color w:val="000000"/>
          <w:sz w:val="28"/>
          <w:szCs w:val="32"/>
        </w:rPr>
      </w:pPr>
      <w:r>
        <w:rPr>
          <w:rFonts w:hint="eastAsia" w:ascii="仿宋_GB2312" w:eastAsia="仿宋_GB2312"/>
          <w:sz w:val="24"/>
          <w:szCs w:val="28"/>
        </w:rPr>
        <w:drawing>
          <wp:inline distT="0" distB="0" distL="114300" distR="114300">
            <wp:extent cx="2562225" cy="1922145"/>
            <wp:effectExtent l="0" t="0" r="0" b="1905"/>
            <wp:docPr id="52" name="图片 52" descr="04dc47a904f1e3917429edb63b8a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4dc47a904f1e3917429edb63b8adae"/>
                    <pic:cNvPicPr>
                      <a:picLocks noChangeAspect="1"/>
                    </pic:cNvPicPr>
                  </pic:nvPicPr>
                  <pic:blipFill>
                    <a:blip r:embed="rId11"/>
                    <a:stretch>
                      <a:fillRect/>
                    </a:stretch>
                  </pic:blipFill>
                  <pic:spPr>
                    <a:xfrm>
                      <a:off x="0" y="0"/>
                      <a:ext cx="2567648" cy="1926244"/>
                    </a:xfrm>
                    <a:prstGeom prst="rect">
                      <a:avLst/>
                    </a:prstGeom>
                  </pic:spPr>
                </pic:pic>
              </a:graphicData>
            </a:graphic>
          </wp:inline>
        </w:drawing>
      </w:r>
      <w:r>
        <w:rPr>
          <w:rFonts w:hint="eastAsia" w:ascii="仿宋_GB2312" w:eastAsia="仿宋_GB2312"/>
          <w:color w:val="000000"/>
          <w:sz w:val="28"/>
          <w:szCs w:val="32"/>
        </w:rPr>
        <w:t xml:space="preserve"> </w:t>
      </w:r>
      <w:r>
        <w:rPr>
          <w:rFonts w:hint="eastAsia" w:ascii="仿宋_GB2312" w:hAnsi="仿宋_GB2312" w:eastAsia="仿宋_GB2312"/>
          <w:bCs/>
          <w:color w:val="000000"/>
          <w:sz w:val="22"/>
        </w:rPr>
        <w:drawing>
          <wp:inline distT="0" distB="0" distL="114300" distR="114300">
            <wp:extent cx="2625725" cy="1914525"/>
            <wp:effectExtent l="0" t="0" r="3175" b="0"/>
            <wp:docPr id="51" name="图片 51" descr="89a23a9c3867acdabc06b6cd7102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89a23a9c3867acdabc06b6cd7102e75"/>
                    <pic:cNvPicPr>
                      <a:picLocks noChangeAspect="1"/>
                    </pic:cNvPicPr>
                  </pic:nvPicPr>
                  <pic:blipFill>
                    <a:blip r:embed="rId12"/>
                    <a:stretch>
                      <a:fillRect/>
                    </a:stretch>
                  </pic:blipFill>
                  <pic:spPr>
                    <a:xfrm>
                      <a:off x="0" y="0"/>
                      <a:ext cx="2631245" cy="1918333"/>
                    </a:xfrm>
                    <a:prstGeom prst="rect">
                      <a:avLst/>
                    </a:prstGeom>
                  </pic:spPr>
                </pic:pic>
              </a:graphicData>
            </a:graphic>
          </wp:inline>
        </w:drawing>
      </w:r>
    </w:p>
    <w:p>
      <w:pPr>
        <w:spacing w:before="156" w:beforeLines="50"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图3-1  学生技能大赛图片</w:t>
      </w:r>
    </w:p>
    <w:p>
      <w:pPr>
        <w:pStyle w:val="3"/>
        <w:spacing w:before="156" w:beforeLines="50" w:after="0"/>
        <w:rPr>
          <w:rFonts w:ascii="黑体" w:hAnsi="黑体" w:eastAsia="黑体"/>
          <w:sz w:val="28"/>
          <w:szCs w:val="28"/>
        </w:rPr>
      </w:pPr>
      <w:bookmarkStart w:id="28" w:name="_Toc501482415"/>
      <w:bookmarkStart w:id="29" w:name="_Toc29894702"/>
      <w:r>
        <w:rPr>
          <w:rFonts w:hint="eastAsia" w:ascii="黑体" w:hAnsi="黑体" w:eastAsia="黑体"/>
          <w:sz w:val="28"/>
          <w:szCs w:val="28"/>
        </w:rPr>
        <w:t>（三）</w:t>
      </w:r>
      <w:bookmarkEnd w:id="28"/>
      <w:r>
        <w:rPr>
          <w:rFonts w:hint="eastAsia" w:ascii="黑体" w:hAnsi="黑体" w:eastAsia="黑体"/>
          <w:sz w:val="28"/>
          <w:szCs w:val="28"/>
        </w:rPr>
        <w:t>教师培养培训</w:t>
      </w:r>
      <w:bookmarkEnd w:id="29"/>
    </w:p>
    <w:p>
      <w:pPr>
        <w:spacing w:before="156" w:beforeLines="50" w:line="360" w:lineRule="auto"/>
        <w:ind w:firstLine="480" w:firstLineChars="200"/>
        <w:rPr>
          <w:sz w:val="24"/>
          <w:szCs w:val="24"/>
        </w:rPr>
      </w:pPr>
      <w:r>
        <w:rPr>
          <w:rFonts w:hint="eastAsia"/>
          <w:sz w:val="24"/>
          <w:szCs w:val="24"/>
        </w:rPr>
        <w:t>结合四川省示范中职学校建设工作，高度重视师资队伍建设项目任务的推进，全面提升教师队伍建设的保障机制。</w:t>
      </w:r>
    </w:p>
    <w:p>
      <w:pPr>
        <w:spacing w:before="156" w:beforeLines="50" w:line="360" w:lineRule="auto"/>
        <w:ind w:firstLine="562" w:firstLineChars="200"/>
        <w:rPr>
          <w:rFonts w:ascii="宋体" w:hAnsi="宋体"/>
          <w:b/>
          <w:sz w:val="28"/>
          <w:szCs w:val="28"/>
        </w:rPr>
      </w:pPr>
      <w:r>
        <w:rPr>
          <w:rFonts w:hint="eastAsia" w:ascii="宋体" w:hAnsi="宋体"/>
          <w:b/>
          <w:sz w:val="28"/>
          <w:szCs w:val="28"/>
        </w:rPr>
        <w:t>1.构建特色师资队伍建设的保障机制</w:t>
      </w:r>
    </w:p>
    <w:p>
      <w:pPr>
        <w:spacing w:before="156" w:beforeLines="50" w:line="360" w:lineRule="auto"/>
        <w:ind w:firstLine="480" w:firstLineChars="200"/>
        <w:rPr>
          <w:sz w:val="24"/>
          <w:szCs w:val="24"/>
        </w:rPr>
      </w:pPr>
      <w:r>
        <w:rPr>
          <w:rFonts w:hint="eastAsia"/>
          <w:sz w:val="24"/>
          <w:szCs w:val="24"/>
        </w:rPr>
        <w:t>一是成立了以校长为组长，教学副校长，教科室主任为副组长的师资队伍建设工作领导小组，管理、推进特色师资队伍的培养和建设。</w:t>
      </w:r>
    </w:p>
    <w:p>
      <w:pPr>
        <w:spacing w:before="156" w:beforeLines="50" w:line="360" w:lineRule="auto"/>
        <w:ind w:firstLine="480" w:firstLineChars="200"/>
        <w:rPr>
          <w:sz w:val="24"/>
          <w:szCs w:val="24"/>
        </w:rPr>
      </w:pPr>
      <w:r>
        <w:rPr>
          <w:rFonts w:hint="eastAsia"/>
          <w:sz w:val="24"/>
          <w:szCs w:val="24"/>
        </w:rPr>
        <w:t>二是建立健全师资队伍建设的管理制度、修订完善了《资中县职业技术学校教师队伍建设规划》、《专业带头人培养方案》、《骨干教师培养方案》、《青年教师培养计划》、《专业教师企业实践管理办法》、《教师教科研考核办法》、《兼职教师管理办法》等制度。建立了专业教师成长档案，在制度的规范和指导下，全面落实各项培养规划。</w:t>
      </w:r>
    </w:p>
    <w:p>
      <w:pPr>
        <w:spacing w:before="156" w:beforeLines="50" w:line="360" w:lineRule="auto"/>
        <w:ind w:firstLine="562" w:firstLineChars="200"/>
        <w:rPr>
          <w:rFonts w:ascii="宋体" w:hAnsi="宋体"/>
          <w:b/>
          <w:sz w:val="28"/>
          <w:szCs w:val="28"/>
        </w:rPr>
      </w:pPr>
      <w:r>
        <w:rPr>
          <w:rFonts w:hint="eastAsia" w:ascii="宋体" w:hAnsi="宋体"/>
          <w:b/>
          <w:sz w:val="28"/>
          <w:szCs w:val="28"/>
        </w:rPr>
        <w:t>2.扎实推进分层分类培养</w:t>
      </w:r>
    </w:p>
    <w:p>
      <w:pPr>
        <w:spacing w:before="156" w:beforeLines="50" w:line="360" w:lineRule="auto"/>
        <w:ind w:firstLine="480" w:firstLineChars="200"/>
        <w:rPr>
          <w:sz w:val="24"/>
          <w:szCs w:val="24"/>
        </w:rPr>
      </w:pPr>
      <w:r>
        <w:rPr>
          <w:rFonts w:hint="eastAsia"/>
          <w:sz w:val="24"/>
          <w:szCs w:val="24"/>
        </w:rPr>
        <w:t>按照示范校建设规范，2019年我校培养专业带头人8人，骨干教师11人，“双师型”教师6人，青年教师9人，通过按照条件遴选，确定培养对象。通过多种途径进行培养。其中省级培训参培41人次，网络研修学习52人次。具体情况如下表：</w:t>
      </w:r>
    </w:p>
    <w:p>
      <w:pPr>
        <w:spacing w:line="360" w:lineRule="auto"/>
        <w:ind w:firstLine="420" w:firstLineChars="200"/>
        <w:jc w:val="center"/>
        <w:rPr>
          <w:rFonts w:asciiTheme="minorEastAsia" w:hAnsiTheme="minorEastAsia" w:eastAsiaTheme="minorEastAsia"/>
          <w:szCs w:val="21"/>
        </w:rPr>
      </w:pPr>
      <w:r>
        <w:rPr>
          <w:rFonts w:hint="eastAsia" w:asciiTheme="minorEastAsia" w:hAnsiTheme="minorEastAsia" w:eastAsiaTheme="minorEastAsia"/>
          <w:szCs w:val="21"/>
        </w:rPr>
        <w:t>表3-1  2019年分层分类培养统计表</w:t>
      </w:r>
    </w:p>
    <w:tbl>
      <w:tblPr>
        <w:tblStyle w:val="30"/>
        <w:tblW w:w="8300" w:type="dxa"/>
        <w:jc w:val="center"/>
        <w:tblLayout w:type="fixed"/>
        <w:tblCellMar>
          <w:top w:w="0" w:type="dxa"/>
          <w:left w:w="108" w:type="dxa"/>
          <w:bottom w:w="0" w:type="dxa"/>
          <w:right w:w="108" w:type="dxa"/>
        </w:tblCellMar>
      </w:tblPr>
      <w:tblGrid>
        <w:gridCol w:w="1540"/>
        <w:gridCol w:w="1200"/>
        <w:gridCol w:w="5560"/>
      </w:tblGrid>
      <w:tr>
        <w:tblPrEx>
          <w:tblCellMar>
            <w:top w:w="0" w:type="dxa"/>
            <w:left w:w="108" w:type="dxa"/>
            <w:bottom w:w="0" w:type="dxa"/>
            <w:right w:w="108" w:type="dxa"/>
          </w:tblCellMar>
        </w:tblPrEx>
        <w:trPr>
          <w:trHeight w:val="270" w:hRule="atLeast"/>
          <w:jc w:val="center"/>
        </w:trPr>
        <w:tc>
          <w:tcPr>
            <w:tcW w:w="15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b/>
                <w:color w:val="000000"/>
                <w:kern w:val="0"/>
                <w:sz w:val="24"/>
                <w:szCs w:val="24"/>
              </w:rPr>
            </w:pPr>
            <w:r>
              <w:rPr>
                <w:rFonts w:hint="eastAsia" w:ascii="宋体" w:hAnsi="宋体" w:cs="宋体"/>
                <w:b/>
                <w:color w:val="000000"/>
                <w:kern w:val="0"/>
                <w:sz w:val="24"/>
                <w:szCs w:val="24"/>
              </w:rPr>
              <w:t>类别</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b/>
                <w:color w:val="000000"/>
                <w:kern w:val="0"/>
                <w:sz w:val="24"/>
                <w:szCs w:val="24"/>
              </w:rPr>
            </w:pPr>
            <w:r>
              <w:rPr>
                <w:rFonts w:hint="eastAsia" w:ascii="宋体" w:hAnsi="宋体" w:cs="宋体"/>
                <w:b/>
                <w:color w:val="000000"/>
                <w:kern w:val="0"/>
                <w:sz w:val="24"/>
                <w:szCs w:val="24"/>
              </w:rPr>
              <w:t>姓名</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b/>
                <w:color w:val="000000"/>
                <w:kern w:val="0"/>
                <w:sz w:val="24"/>
                <w:szCs w:val="24"/>
              </w:rPr>
            </w:pPr>
            <w:r>
              <w:rPr>
                <w:rFonts w:hint="eastAsia" w:ascii="宋体" w:hAnsi="宋体" w:cs="宋体"/>
                <w:b/>
                <w:color w:val="000000"/>
                <w:kern w:val="0"/>
                <w:sz w:val="24"/>
                <w:szCs w:val="24"/>
              </w:rPr>
              <w:t>2019年参加培训记录</w:t>
            </w:r>
          </w:p>
        </w:tc>
      </w:tr>
      <w:tr>
        <w:tblPrEx>
          <w:tblCellMar>
            <w:top w:w="0" w:type="dxa"/>
            <w:left w:w="108" w:type="dxa"/>
            <w:bottom w:w="0" w:type="dxa"/>
            <w:right w:w="108" w:type="dxa"/>
          </w:tblCellMar>
        </w:tblPrEx>
        <w:trPr>
          <w:trHeight w:val="270" w:hRule="atLeast"/>
          <w:jc w:val="center"/>
        </w:trPr>
        <w:tc>
          <w:tcPr>
            <w:tcW w:w="15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青年教师</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古维</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教务处长能力提升培训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罗家利</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青年教师企业实践</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李洁丽</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ind w:firstLine="210" w:firstLineChars="100"/>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青年教师企业实践</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柴平</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青年教师企业实践</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赵丹</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青年教师企业实践</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江航金</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专业能力提升培训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熊飞燕</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专业能力提升培训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韦敏</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专业能力提升培训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郭光宏</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青年教师跟岗实践</w:t>
            </w:r>
          </w:p>
        </w:tc>
      </w:tr>
      <w:tr>
        <w:tblPrEx>
          <w:tblCellMar>
            <w:top w:w="0" w:type="dxa"/>
            <w:left w:w="108" w:type="dxa"/>
            <w:bottom w:w="0" w:type="dxa"/>
            <w:right w:w="108" w:type="dxa"/>
          </w:tblCellMar>
        </w:tblPrEx>
        <w:trPr>
          <w:trHeight w:val="270" w:hRule="atLeast"/>
          <w:jc w:val="center"/>
        </w:trPr>
        <w:tc>
          <w:tcPr>
            <w:tcW w:w="15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双师型</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官爱国</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双师型教师培训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彭长生</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双师型教师培训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车安素</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双师型教师培训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张斌</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双师型教师培训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袁彬</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双师型教师培训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陈洁</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双师型教师培训</w:t>
            </w:r>
          </w:p>
        </w:tc>
      </w:tr>
      <w:tr>
        <w:tblPrEx>
          <w:tblCellMar>
            <w:top w:w="0" w:type="dxa"/>
            <w:left w:w="108" w:type="dxa"/>
            <w:bottom w:w="0" w:type="dxa"/>
            <w:right w:w="108" w:type="dxa"/>
          </w:tblCellMar>
        </w:tblPrEx>
        <w:trPr>
          <w:trHeight w:val="270" w:hRule="atLeast"/>
          <w:jc w:val="center"/>
        </w:trPr>
        <w:tc>
          <w:tcPr>
            <w:tcW w:w="15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专业带头人</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徐梦洋</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专业带头人培训、汽车专业教师培训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周琳</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专业带头人培训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卿果君</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班主任培训、钳工技能水平提升培训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王治东</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专业带头人培训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胡宏建</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专业带头人培训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甘学平</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专业带头人培训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王群</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专业带头人培训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陈洁</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专业带头人培训</w:t>
            </w:r>
          </w:p>
        </w:tc>
      </w:tr>
      <w:tr>
        <w:tblPrEx>
          <w:tblCellMar>
            <w:top w:w="0" w:type="dxa"/>
            <w:left w:w="108" w:type="dxa"/>
            <w:bottom w:w="0" w:type="dxa"/>
            <w:right w:w="108" w:type="dxa"/>
          </w:tblCellMar>
        </w:tblPrEx>
        <w:trPr>
          <w:trHeight w:val="270" w:hRule="atLeast"/>
          <w:jc w:val="center"/>
        </w:trPr>
        <w:tc>
          <w:tcPr>
            <w:tcW w:w="15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骨干教师</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韦敏</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骨干教师培训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朱羿锟</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骨干教师培训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杨光勇</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教务处长能力提升培训、钳工技能水平提升</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叶高丽</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教学能力提升</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彭雪锋</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教学能力提升</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彭长生</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教学能力提升</w:t>
            </w:r>
          </w:p>
        </w:tc>
      </w:tr>
      <w:tr>
        <w:tblPrEx>
          <w:tblCellMar>
            <w:top w:w="0" w:type="dxa"/>
            <w:left w:w="108" w:type="dxa"/>
            <w:bottom w:w="0" w:type="dxa"/>
            <w:right w:w="108" w:type="dxa"/>
          </w:tblCellMar>
        </w:tblPrEx>
        <w:trPr>
          <w:trHeight w:val="270" w:hRule="atLeast"/>
          <w:jc w:val="center"/>
        </w:trPr>
        <w:tc>
          <w:tcPr>
            <w:tcW w:w="154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邱建国</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思政课教学培训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黄萍</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专业能力提升培训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双琳麟</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专业能力提升培训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周波</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专业能力提升培训</w:t>
            </w:r>
          </w:p>
        </w:tc>
      </w:tr>
      <w:tr>
        <w:tblPrEx>
          <w:tblCellMar>
            <w:top w:w="0" w:type="dxa"/>
            <w:left w:w="108" w:type="dxa"/>
            <w:bottom w:w="0" w:type="dxa"/>
            <w:right w:w="108" w:type="dxa"/>
          </w:tblCellMar>
        </w:tblPrEx>
        <w:trPr>
          <w:trHeight w:val="270" w:hRule="atLeast"/>
          <w:jc w:val="center"/>
        </w:trPr>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张安燕</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专业能力提升培训</w:t>
            </w:r>
          </w:p>
        </w:tc>
      </w:tr>
      <w:tr>
        <w:tblPrEx>
          <w:tblCellMar>
            <w:top w:w="0" w:type="dxa"/>
            <w:left w:w="108" w:type="dxa"/>
            <w:bottom w:w="0" w:type="dxa"/>
            <w:right w:w="108" w:type="dxa"/>
          </w:tblCellMar>
        </w:tblPrEx>
        <w:trPr>
          <w:trHeight w:val="270" w:hRule="atLeast"/>
          <w:jc w:val="center"/>
        </w:trPr>
        <w:tc>
          <w:tcPr>
            <w:tcW w:w="1540"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兼职教师</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黄蜀青</w:t>
            </w:r>
          </w:p>
        </w:tc>
        <w:tc>
          <w:tcPr>
            <w:tcW w:w="55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汽车专业兼职教师培训</w:t>
            </w:r>
          </w:p>
        </w:tc>
      </w:tr>
      <w:tr>
        <w:tblPrEx>
          <w:tblCellMar>
            <w:top w:w="0" w:type="dxa"/>
            <w:left w:w="108" w:type="dxa"/>
            <w:bottom w:w="0" w:type="dxa"/>
            <w:right w:w="108" w:type="dxa"/>
          </w:tblCellMar>
        </w:tblPrEx>
        <w:trPr>
          <w:trHeight w:val="270" w:hRule="atLeast"/>
          <w:jc w:val="center"/>
        </w:trPr>
        <w:tc>
          <w:tcPr>
            <w:tcW w:w="1540" w:type="dxa"/>
            <w:vMerge w:val="continue"/>
            <w:tcBorders>
              <w:left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陈晓明</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机械专业兼职教师培训</w:t>
            </w:r>
          </w:p>
        </w:tc>
      </w:tr>
      <w:tr>
        <w:tblPrEx>
          <w:tblCellMar>
            <w:top w:w="0" w:type="dxa"/>
            <w:left w:w="108" w:type="dxa"/>
            <w:bottom w:w="0" w:type="dxa"/>
            <w:right w:w="108" w:type="dxa"/>
          </w:tblCellMar>
        </w:tblPrEx>
        <w:trPr>
          <w:trHeight w:val="270" w:hRule="atLeast"/>
          <w:jc w:val="center"/>
        </w:trPr>
        <w:tc>
          <w:tcPr>
            <w:tcW w:w="1540" w:type="dxa"/>
            <w:vMerge w:val="continue"/>
            <w:tcBorders>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陈伟</w:t>
            </w: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汽车专业兼职教师培训</w:t>
            </w:r>
          </w:p>
        </w:tc>
      </w:tr>
      <w:tr>
        <w:tblPrEx>
          <w:tblCellMar>
            <w:top w:w="0" w:type="dxa"/>
            <w:left w:w="108" w:type="dxa"/>
            <w:bottom w:w="0" w:type="dxa"/>
            <w:right w:w="108" w:type="dxa"/>
          </w:tblCellMar>
        </w:tblPrEx>
        <w:trPr>
          <w:trHeight w:val="270" w:hRule="atLeast"/>
          <w:jc w:val="center"/>
        </w:trPr>
        <w:tc>
          <w:tcPr>
            <w:tcW w:w="1540"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网络研修</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p>
        </w:tc>
        <w:tc>
          <w:tcPr>
            <w:tcW w:w="55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52人次</w:t>
            </w:r>
          </w:p>
        </w:tc>
      </w:tr>
    </w:tbl>
    <w:p>
      <w:pPr>
        <w:spacing w:before="156" w:beforeLines="50" w:line="360" w:lineRule="auto"/>
        <w:ind w:firstLine="562" w:firstLineChars="200"/>
        <w:rPr>
          <w:rFonts w:asciiTheme="majorEastAsia" w:hAnsiTheme="majorEastAsia" w:eastAsiaTheme="majorEastAsia"/>
          <w:b/>
          <w:sz w:val="28"/>
          <w:szCs w:val="28"/>
        </w:rPr>
      </w:pPr>
      <w:r>
        <w:rPr>
          <w:rFonts w:hint="eastAsia" w:asciiTheme="majorEastAsia" w:hAnsiTheme="majorEastAsia" w:eastAsiaTheme="majorEastAsia"/>
          <w:b/>
          <w:sz w:val="28"/>
          <w:szCs w:val="28"/>
        </w:rPr>
        <w:t>3.创新培养途径，促进教师成长</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是利用名师工作室，促进教师成长。傅洪成、王惠英、李刚、熊飞燕等老师参加四川省相关学科的名师工作室学习，成长、进步很明显。傅洪成同志被评为全国优秀教师。学校成立了“王惠英德育工作室”、“胡宏建计算机应用工作室”，让大批老师通过名师工作室的学习，活动开展迅速成长起来。</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二是鼓励教师参加各类比赛，竞赛活动。2019年，教师参加各类比赛，获国家级奖1人次，省级奖项4人次，市级奖项12人次，县级奖项19人次。</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三是课题研究促进教师成长，学校鼓励老师们积极参与课题研究，省级课题3个，如省级课题《职高专业课推行项目过关制教学改革的研究》《中职学校作文微格教学研究 》《信息技术优化农村职中课堂教学的研究》；市级课题3个，如《中职学校在农村城镇化建设中的作用探讨》；县级课题6个，如《仿真技术在中职学校实习教学中的应用》，《新时代中职教育推行“5S”管理研究》，校级课题20个，如《消除中职学生数学课堂答问障碍策略研究》。老师们在课题中探索研究，不断学习成长。</w:t>
      </w:r>
    </w:p>
    <w:p>
      <w:pPr>
        <w:pStyle w:val="3"/>
        <w:spacing w:before="156" w:beforeLines="50" w:after="0"/>
        <w:rPr>
          <w:rFonts w:ascii="黑体" w:hAnsi="黑体" w:eastAsia="黑体"/>
          <w:sz w:val="28"/>
          <w:szCs w:val="28"/>
        </w:rPr>
      </w:pPr>
      <w:bookmarkStart w:id="30" w:name="_Toc501482416"/>
      <w:bookmarkStart w:id="31" w:name="_Toc29894703"/>
      <w:r>
        <w:rPr>
          <w:rFonts w:hint="eastAsia" w:ascii="黑体" w:hAnsi="黑体" w:eastAsia="黑体"/>
          <w:sz w:val="28"/>
          <w:szCs w:val="28"/>
        </w:rPr>
        <w:t>（四）规范管理情况</w:t>
      </w:r>
      <w:bookmarkEnd w:id="30"/>
      <w:bookmarkEnd w:id="31"/>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坚持“内涵发展，提高核心竞争力，办人民满意的中职学校”的发展思路，坚持“德育为首，技能为本，素质为重”的育人理念，坚持“真教实学，行知结合”的教学理念，以学校《章程》和各项管理制度为依据，坚持科学制度管理与人性、民主管理相结合，努力达到通过规范化管理提升学校内涵的目标。</w:t>
      </w:r>
    </w:p>
    <w:p>
      <w:pPr>
        <w:spacing w:before="156" w:beforeLines="50" w:line="360" w:lineRule="auto"/>
        <w:ind w:firstLine="480" w:firstLineChars="200"/>
        <w:rPr>
          <w:sz w:val="28"/>
          <w:szCs w:val="28"/>
        </w:rPr>
      </w:pPr>
      <w:r>
        <w:rPr>
          <w:rFonts w:hint="eastAsia" w:asciiTheme="minorEastAsia" w:hAnsiTheme="minorEastAsia" w:eastAsiaTheme="minorEastAsia"/>
          <w:sz w:val="24"/>
          <w:szCs w:val="24"/>
        </w:rPr>
        <w:t>2019年，根据示范校建设中“坚持标准、规范办学”的任务指导，学校对标梳理管理规章制度，全面修改学校在招生、学籍管理、教育教学、实习实训、就业、后期管理，安全管理等方面的规章制度，为坚持标准化办学奠定良好的基础。</w:t>
      </w:r>
    </w:p>
    <w:p>
      <w:pPr>
        <w:spacing w:before="156" w:beforeLines="50" w:line="360" w:lineRule="auto"/>
        <w:ind w:firstLine="562" w:firstLineChars="200"/>
        <w:rPr>
          <w:rFonts w:ascii="宋体" w:hAnsi="宋体"/>
          <w:b/>
          <w:sz w:val="28"/>
          <w:szCs w:val="28"/>
        </w:rPr>
      </w:pPr>
      <w:r>
        <w:rPr>
          <w:rFonts w:hint="eastAsia" w:ascii="宋体" w:hAnsi="宋体"/>
          <w:b/>
          <w:sz w:val="28"/>
          <w:szCs w:val="28"/>
        </w:rPr>
        <w:t>1.教学管理</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切实加强教学管理，不断提升教育教学质量。一是完善修订教学管理制度。2018-2019年度，学校完善了《教学“五认真”检查考核办法》、《技能训练与竞赛奖惩方案》、《对口升学奖励办法》、《课堂教学常规要求》等系列教学制度。二是成立教学“五认真”检查领导小组，每月对教师教学“五认真”考评，结果纳入绩效考核运用。三是成立中层干部以上组成的教学一日常规巡视组，监管教学常规工作。四是落实项目过关制教学改革，每个项目的考核过关，实训处专人督导。五是加强教师校本研修等教研活动，积极组织教师开展集体备课、公开课、听课、课题研究和科研成果评比等活动。</w:t>
      </w:r>
    </w:p>
    <w:p>
      <w:pPr>
        <w:spacing w:before="156" w:beforeLines="50" w:line="360" w:lineRule="auto"/>
        <w:ind w:firstLine="562" w:firstLineChars="200"/>
        <w:rPr>
          <w:rFonts w:ascii="宋体" w:hAnsi="宋体"/>
          <w:b/>
          <w:sz w:val="28"/>
          <w:szCs w:val="28"/>
        </w:rPr>
      </w:pPr>
      <w:r>
        <w:rPr>
          <w:rFonts w:hint="eastAsia" w:ascii="宋体" w:hAnsi="宋体"/>
          <w:b/>
          <w:sz w:val="28"/>
          <w:szCs w:val="28"/>
        </w:rPr>
        <w:t>2.学生管理</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落实“严、爱”结合的班级学生管理思路，在纪律上、学习上、行为规范等方面严格制度管理。在思想上、生活上给予学生真诚关爱，让“冻土层得到阳光雨露”，激发职高生潜能。“严、爱”结合的管理，规范了学生行为，增强了他们的自信心，促进了他们对理想前途的追求。</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以中职学生行为习惯养成教育为主线，重点强化行为习惯养成教育，制定了学生一日常规制度，明确学生在学习、生活、卫生、语言、着装等方面要求，学校推行“5S”管理，通过整理、整顿、清洁、清扫规范学生行为习惯，达到提升学生素养的目的。</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学校对升学班进行成绩考核制管理，对月考不合格的学生给予批评教育，对半期考试不合格的学生进行专门培训和整改，对学年考试不合格的学生给予调整至就业班级的处理。</w:t>
      </w:r>
    </w:p>
    <w:p>
      <w:pPr>
        <w:spacing w:before="156" w:beforeLines="50" w:line="360" w:lineRule="auto"/>
        <w:ind w:firstLine="480" w:firstLineChars="200"/>
        <w:rPr>
          <w:sz w:val="28"/>
          <w:szCs w:val="28"/>
        </w:rPr>
      </w:pPr>
      <w:r>
        <w:rPr>
          <w:rFonts w:hint="eastAsia" w:asciiTheme="minorEastAsia" w:hAnsiTheme="minorEastAsia" w:eastAsiaTheme="minorEastAsia"/>
          <w:sz w:val="24"/>
          <w:szCs w:val="24"/>
        </w:rPr>
        <w:t>学校推行学生自治管理，充分利用、培养学生干部，进行寝室管理，“5S”管理，校园卫生管理，课间集会管理等。既锻炼了学生能力，也使学生管理工作更加落实。</w:t>
      </w:r>
    </w:p>
    <w:p>
      <w:pPr>
        <w:spacing w:before="156" w:beforeLines="50" w:line="360" w:lineRule="auto"/>
        <w:ind w:firstLine="562" w:firstLineChars="200"/>
        <w:rPr>
          <w:rFonts w:ascii="宋体" w:hAnsi="宋体"/>
          <w:b/>
          <w:sz w:val="28"/>
          <w:szCs w:val="28"/>
        </w:rPr>
      </w:pPr>
      <w:r>
        <w:rPr>
          <w:rFonts w:hint="eastAsia" w:ascii="宋体" w:hAnsi="宋体"/>
          <w:b/>
          <w:sz w:val="28"/>
          <w:szCs w:val="28"/>
        </w:rPr>
        <w:t>3.财务管理</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学校按照巡查整改要求，认真落实整改措施。做好财务的规范管理。</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一是建章立制，进一步完善财务管理规章制度，重新修订完善了学校《财务保障程序审批规定》、《公务接待管理办法》、《车旅费管理办法》、《示范校资金管理办法》等。并严格按照财务制度进行规范管理。</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二是严格执行预、决算制度，提高了资金使用的合理性、规范性，2019年学校被资中县人民政府评为“预决算先进集体”。</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三是加强财务监管，努力做到报销审核程序规范，大额资金使用按照“三重一大”制度严格执行，严格执行收费规定和标准。</w:t>
      </w:r>
    </w:p>
    <w:p>
      <w:pPr>
        <w:spacing w:before="156" w:beforeLines="50" w:line="360" w:lineRule="auto"/>
        <w:ind w:firstLine="562" w:firstLineChars="200"/>
        <w:rPr>
          <w:rFonts w:ascii="宋体" w:hAnsi="宋体"/>
          <w:b/>
          <w:sz w:val="28"/>
          <w:szCs w:val="28"/>
        </w:rPr>
      </w:pPr>
      <w:r>
        <w:rPr>
          <w:rFonts w:hint="eastAsia" w:ascii="宋体" w:hAnsi="宋体"/>
          <w:b/>
          <w:sz w:val="28"/>
          <w:szCs w:val="28"/>
        </w:rPr>
        <w:t>4.后勤管理</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后勤管理树立为教学服务，为师生服务的思想。一是完善后勤管理制度，明确各岗位职责。二是严格执行大宗物品采购制度，招投标按规范程序操作。三是加强对食堂管理，确保食品安全及饭菜质量。四是做好学校固定资产管理，建立维修、验收登记制度。五是做好水电等后勤保障服务。</w:t>
      </w:r>
    </w:p>
    <w:p>
      <w:pPr>
        <w:spacing w:before="156" w:beforeLines="50" w:line="360" w:lineRule="auto"/>
        <w:ind w:firstLine="562" w:firstLineChars="200"/>
        <w:rPr>
          <w:rFonts w:ascii="宋体" w:hAnsi="宋体"/>
          <w:b/>
          <w:sz w:val="28"/>
          <w:szCs w:val="28"/>
        </w:rPr>
      </w:pPr>
      <w:r>
        <w:rPr>
          <w:rFonts w:hint="eastAsia" w:ascii="宋体" w:hAnsi="宋体"/>
          <w:b/>
          <w:sz w:val="28"/>
          <w:szCs w:val="28"/>
        </w:rPr>
        <w:t>5.安全管理</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高度重视安全工作。一是认真落实安全管理制度。学校完善了《安全管理一日常规检查制度》、《学生请假制度》、《周末值班管理制度》、《教师一岗双责落实制度》等安全管理制度，特别是重点抓好安全一日常规检查，强化教职工落实好一岗双责责任制。二是加强安全隐患排查，水南校区投入资金20万元维修堡坎，消除安全隐患。三是加强物防人防管理。示范校建设期间，学校进行信息化管理的改建投入资金完善全校监控系统，做到监控全覆盖。四是加强安全教育和安全演练，今年发生几次地震，我校师生有序疏散到安全区域，学校组织学习及时进行地震安全教育。学校利用周前会，班会强调安全要求，普及安全知识，利用短信平台，微信群建立了学校、家庭、社会的安全教育网络。</w:t>
      </w:r>
    </w:p>
    <w:p>
      <w:pPr>
        <w:pStyle w:val="3"/>
        <w:spacing w:before="156" w:beforeLines="50" w:after="0"/>
        <w:rPr>
          <w:rFonts w:ascii="黑体" w:hAnsi="黑体" w:eastAsia="黑体"/>
          <w:sz w:val="28"/>
          <w:szCs w:val="28"/>
        </w:rPr>
      </w:pPr>
      <w:bookmarkStart w:id="32" w:name="_Toc501482417"/>
      <w:bookmarkStart w:id="33" w:name="_Toc29894704"/>
      <w:r>
        <w:rPr>
          <w:rFonts w:hint="eastAsia" w:ascii="黑体" w:hAnsi="黑体" w:eastAsia="黑体"/>
          <w:sz w:val="28"/>
          <w:szCs w:val="28"/>
        </w:rPr>
        <w:t>（五）德育工作情况</w:t>
      </w:r>
      <w:bookmarkEnd w:id="32"/>
      <w:bookmarkEnd w:id="33"/>
    </w:p>
    <w:p>
      <w:pPr>
        <w:spacing w:before="156" w:beforeLines="50" w:line="360" w:lineRule="auto"/>
        <w:ind w:firstLine="562" w:firstLineChars="200"/>
        <w:rPr>
          <w:rFonts w:ascii="宋体" w:hAnsi="宋体"/>
          <w:b/>
          <w:sz w:val="28"/>
          <w:szCs w:val="28"/>
        </w:rPr>
      </w:pPr>
      <w:bookmarkStart w:id="34" w:name="_Toc501482418"/>
      <w:r>
        <w:rPr>
          <w:rFonts w:hint="eastAsia" w:ascii="宋体" w:hAnsi="宋体"/>
          <w:b/>
          <w:sz w:val="28"/>
          <w:szCs w:val="28"/>
        </w:rPr>
        <w:t>1.</w:t>
      </w:r>
      <w:r>
        <w:rPr>
          <w:rFonts w:ascii="宋体" w:hAnsi="宋体"/>
          <w:b/>
          <w:sz w:val="28"/>
          <w:szCs w:val="28"/>
        </w:rPr>
        <w:t>完善德育教育体系，形成教育合力</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建立“三位一体”德育教育模式，从课程教育、社会实践和学校文化三方面深入构建学校、家庭、社会的立体德育网络。</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一是党建引领德育工作。在学校教育主阵地方面，形成党支部→政教处→专业部→班主任、德育课教师这一德育工作主线，以党建为引领，将党建活动与德育活动相结合，党建典型培塑与德育队伍建设相结合，党建阵地建设与德育阵地建设相结合，形成党建引领下的德育工作特色。</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二是加强家、校联系，通过家长会，向家长汇报学校教育教学管理、生产实习管理，学生实习、就业管理情况，同时帮助家长掌握正确的教育和教育方法；通过家访，针对性地对个性特征学生做好共同教育；通过微信群，让家长及时了解学生在校情况。</w:t>
      </w:r>
    </w:p>
    <w:p>
      <w:pPr>
        <w:spacing w:before="156" w:beforeLines="50" w:line="360" w:lineRule="auto"/>
        <w:ind w:firstLine="480" w:firstLineChars="200"/>
        <w:rPr>
          <w:sz w:val="28"/>
          <w:szCs w:val="28"/>
        </w:rPr>
      </w:pPr>
      <w:r>
        <w:rPr>
          <w:rFonts w:asciiTheme="minorEastAsia" w:hAnsiTheme="minorEastAsia" w:eastAsiaTheme="minorEastAsia"/>
          <w:sz w:val="24"/>
          <w:szCs w:val="24"/>
        </w:rPr>
        <w:t>三是形成学校与社会共同育人的局面，通过专题教育活动，如法制教育、主题日教育等，培养学生道德意识和形成社会主义核心价值观；通过规范工学结合活动，让学生了解社会，了解企业文化，适应企业管理、提升学生的职业素养。</w:t>
      </w:r>
    </w:p>
    <w:p>
      <w:pPr>
        <w:spacing w:before="156" w:beforeLines="50" w:line="360" w:lineRule="auto"/>
        <w:ind w:firstLine="562" w:firstLineChars="200"/>
        <w:rPr>
          <w:rFonts w:ascii="宋体" w:hAnsi="宋体"/>
          <w:b/>
          <w:sz w:val="28"/>
          <w:szCs w:val="28"/>
        </w:rPr>
      </w:pPr>
      <w:r>
        <w:rPr>
          <w:rFonts w:hint="eastAsia" w:ascii="宋体" w:hAnsi="宋体"/>
          <w:b/>
          <w:sz w:val="28"/>
          <w:szCs w:val="28"/>
        </w:rPr>
        <w:t>2.</w:t>
      </w:r>
      <w:r>
        <w:rPr>
          <w:rFonts w:ascii="宋体" w:hAnsi="宋体"/>
          <w:b/>
          <w:sz w:val="28"/>
          <w:szCs w:val="28"/>
        </w:rPr>
        <w:t>保障课堂主阵地，落实立德树人任务，培养社会主义核心价值观</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一是在制定各专业人才培养方案过程中，校企合作共同明确人才标准的思想道德品质、职业道德素养、行为习惯要求等，并将学生道德素养要求作为学生平时考核和毕业考核的组成部分；</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二是按照中等职业学校德育课开设要求和标准，分年度分别开设《职业生涯规范》、《职业道德与法律》、《哲学与人生》、《经济政治与社会》等四门德育必修课，增设礼仪课、心理健康教育课等课程，校企共建《心理健康教育》课程标准和教学标准；</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三是按照教育、教学双育人要求，所有学科渗透德育教育，充分发挥课堂教学的德育功能，在文化课教学中渗透爱国主义教育、集体主义教育、法制教育、“三观”教育，培养学生社会主义核心价值观；在专业课教学中，特别是专业实训课教学中，培养学生爱岗敬业的职业素养，培养学生严谨务实、精益求精的工匠精神。</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四是借助学校信息化管理平台，立足课堂教学主阵地，通过监控系统和教学日志管理系统，规范学生学习行为和教师教学行为。</w:t>
      </w:r>
    </w:p>
    <w:p>
      <w:pPr>
        <w:spacing w:before="156" w:beforeLines="50" w:line="360" w:lineRule="auto"/>
        <w:ind w:firstLine="562" w:firstLineChars="200"/>
        <w:rPr>
          <w:rFonts w:ascii="宋体" w:hAnsi="宋体"/>
          <w:b/>
          <w:sz w:val="28"/>
          <w:szCs w:val="28"/>
        </w:rPr>
      </w:pPr>
      <w:r>
        <w:rPr>
          <w:rFonts w:hint="eastAsia" w:ascii="宋体" w:hAnsi="宋体"/>
          <w:b/>
          <w:sz w:val="28"/>
          <w:szCs w:val="28"/>
        </w:rPr>
        <w:t>3.</w:t>
      </w:r>
      <w:r>
        <w:rPr>
          <w:rFonts w:ascii="宋体" w:hAnsi="宋体"/>
          <w:b/>
          <w:sz w:val="28"/>
          <w:szCs w:val="28"/>
        </w:rPr>
        <w:t>实施行为习惯养成教育，奠定培育社会主义核心价值观的基础</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学校以行为习惯养成教育为突破口，以“5S”管理为载体，培养学生良好行为习惯，针对职高学生行为习惯较差的现实，必须强力推进行为习惯养成教育。首先，让学生明确“5S”管理一日常规，通过每天规律规范的学习、生活，养成遵纪守法、踏实做事的良好行为习惯；让学生明确“5S”管理课堂常规，要求学生做到课堂学习必须认真听课，不做与课堂学习无关的事，学校每天不定时地课堂巡查和信息化监管，对违反课堂常规的学生进行思想教育及强制性培训提高，达到课堂教学高度规范，从而让学生养成诚实守信、认真学习的良好习惯；让学生明确“5S”管理卫生常规，学生通过对校园公共卫生的整理、整顿、保持，对个人卫生的注重，养成爱劳动、爱清洁的良好习惯，提高对美的认真和追求；让学生明确“5S”管理仪表仪容规范要求，做到仪容端庄、衣着大方、言谈文雅、举止有度。其次，对行为习惯养成教育按照强制→养成→习惯这一规律去落实，重点是对学生强制的养成教育。</w:t>
      </w:r>
    </w:p>
    <w:p>
      <w:pPr>
        <w:widowControl/>
        <w:jc w:val="left"/>
        <w:rPr>
          <w:rFonts w:ascii="方正小标宋简体" w:hAnsi="方正小标宋简体" w:eastAsia="方正小标宋简体" w:cs="方正小标宋简体"/>
          <w:bCs/>
          <w:i/>
          <w:color w:val="000000"/>
          <w:kern w:val="0"/>
          <w:sz w:val="28"/>
          <w:szCs w:val="28"/>
        </w:rPr>
      </w:pPr>
      <w:r>
        <w:rPr>
          <w:rFonts w:hint="eastAsia" w:ascii="方正小标宋简体" w:hAnsi="方正小标宋简体" w:eastAsia="方正小标宋简体" w:cs="方正小标宋简体"/>
          <w:bCs/>
          <w:i/>
          <w:color w:val="000000"/>
          <w:kern w:val="0"/>
          <w:sz w:val="28"/>
          <w:szCs w:val="28"/>
        </w:rPr>
        <w:t>【案例】</w:t>
      </w:r>
    </w:p>
    <w:p>
      <w:pPr>
        <w:spacing w:line="360" w:lineRule="auto"/>
        <w:jc w:val="center"/>
        <w:rPr>
          <w:rFonts w:ascii="仿宋_GB2312" w:eastAsia="仿宋_GB2312" w:hAnsiTheme="minorEastAsia"/>
          <w:sz w:val="28"/>
        </w:rPr>
      </w:pPr>
      <w:r>
        <w:rPr>
          <w:rFonts w:hint="eastAsia" w:ascii="仿宋_GB2312" w:eastAsia="仿宋_GB2312" w:hAnsiTheme="minorEastAsia"/>
          <w:sz w:val="28"/>
        </w:rPr>
        <w:t xml:space="preserve"> “5S”管理，让学生行为习惯规范起来</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面对职高学生行为习惯、学习习惯较差的现状，如何培养学生良好的行为、学习习惯？2010年，学校在校企合作工作中，成功地将企业“5S”管理引入到学生行为、学习、实训常规管理之中。经过进10年的探索，持之以恒地坚持、不断完善，“5S”管理已经成为学校管理的一大特点，通过“5S”管理，让学生行为习惯规范起来。</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 xml:space="preserve"> “5S”管理是一种格式化管理、规范化管理，就是让学生通过每天的“整理（seire）、整顿（seiton）、清洁（seiketsu）、清扫（seisou）来提高自身素养（shitsuke）”，养成好习惯、达到提升素养的目的。</w:t>
      </w:r>
    </w:p>
    <w:p>
      <w:pPr>
        <w:spacing w:line="360" w:lineRule="auto"/>
        <w:ind w:firstLine="480" w:firstLineChars="200"/>
        <w:rPr>
          <w:rFonts w:asciiTheme="minorEastAsia" w:hAnsiTheme="minorEastAsia"/>
          <w:sz w:val="24"/>
        </w:rPr>
      </w:pPr>
      <w:r>
        <w:rPr>
          <w:rFonts w:hint="eastAsia" w:ascii="仿宋_GB2312" w:eastAsia="仿宋_GB2312" w:hAnsiTheme="minorEastAsia"/>
          <w:sz w:val="24"/>
        </w:rPr>
        <w:t>为了贯彻落实这项管理制度，学校健全了“5S”管理体系，制定了“5S”管理章程，将“课堂常规、集会常规、教室常规、做操跑操常规、寝室常规、就餐常规、实训常规、礼仪常规、军训常规”等九个方面同时推进。“5S”管理模式开始之初，学生对其抱有抵触情绪，感觉处处是约束，处处有规范；实行一段时间后，学生感觉寝室环境好了、学习气氛改变了、课堂纪律有保障了、精神风貌积极向上了。</w:t>
      </w:r>
    </w:p>
    <w:p>
      <w:pPr>
        <w:jc w:val="center"/>
        <w:rPr>
          <w:sz w:val="28"/>
          <w:szCs w:val="28"/>
        </w:rPr>
      </w:pPr>
      <w:r>
        <w:rPr>
          <w:rFonts w:hint="eastAsia"/>
          <w:sz w:val="28"/>
          <w:szCs w:val="28"/>
        </w:rPr>
        <w:drawing>
          <wp:inline distT="0" distB="0" distL="114300" distR="114300">
            <wp:extent cx="2514600" cy="1885950"/>
            <wp:effectExtent l="0" t="0" r="0" b="0"/>
            <wp:docPr id="45" name="图片 45" descr="55989c3a1515a33f5df60f20ab9c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5989c3a1515a33f5df60f20ab9c48b"/>
                    <pic:cNvPicPr>
                      <a:picLocks noChangeAspect="1"/>
                    </pic:cNvPicPr>
                  </pic:nvPicPr>
                  <pic:blipFill>
                    <a:blip r:embed="rId13"/>
                    <a:stretch>
                      <a:fillRect/>
                    </a:stretch>
                  </pic:blipFill>
                  <pic:spPr>
                    <a:xfrm>
                      <a:off x="0" y="0"/>
                      <a:ext cx="2517887" cy="1888569"/>
                    </a:xfrm>
                    <a:prstGeom prst="rect">
                      <a:avLst/>
                    </a:prstGeom>
                  </pic:spPr>
                </pic:pic>
              </a:graphicData>
            </a:graphic>
          </wp:inline>
        </w:drawing>
      </w:r>
      <w:r>
        <w:rPr>
          <w:rFonts w:hint="eastAsia"/>
          <w:sz w:val="28"/>
          <w:szCs w:val="28"/>
        </w:rPr>
        <w:t xml:space="preserve"> </w:t>
      </w:r>
      <w:r>
        <w:rPr>
          <w:rFonts w:hint="eastAsia"/>
          <w:sz w:val="28"/>
          <w:szCs w:val="28"/>
        </w:rPr>
        <w:drawing>
          <wp:inline distT="0" distB="0" distL="114300" distR="114300">
            <wp:extent cx="2514600" cy="1885950"/>
            <wp:effectExtent l="0" t="0" r="0" b="0"/>
            <wp:docPr id="46" name="图片 46" descr="0bad9d093c7f3ac6045e46e42aa0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bad9d093c7f3ac6045e46e42aa0b84"/>
                    <pic:cNvPicPr>
                      <a:picLocks noChangeAspect="1"/>
                    </pic:cNvPicPr>
                  </pic:nvPicPr>
                  <pic:blipFill>
                    <a:blip r:embed="rId14"/>
                    <a:stretch>
                      <a:fillRect/>
                    </a:stretch>
                  </pic:blipFill>
                  <pic:spPr>
                    <a:xfrm>
                      <a:off x="0" y="0"/>
                      <a:ext cx="2519507" cy="1890090"/>
                    </a:xfrm>
                    <a:prstGeom prst="rect">
                      <a:avLst/>
                    </a:prstGeom>
                  </pic:spPr>
                </pic:pic>
              </a:graphicData>
            </a:graphic>
          </wp:inline>
        </w:drawing>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图3-2  “5S”图片</w:t>
      </w:r>
    </w:p>
    <w:p>
      <w:pPr>
        <w:spacing w:before="156" w:beforeLines="50" w:line="360" w:lineRule="auto"/>
        <w:ind w:firstLine="562" w:firstLineChars="200"/>
        <w:rPr>
          <w:b/>
          <w:sz w:val="28"/>
          <w:szCs w:val="28"/>
        </w:rPr>
      </w:pPr>
      <w:r>
        <w:rPr>
          <w:rFonts w:hint="eastAsia"/>
          <w:b/>
          <w:sz w:val="28"/>
          <w:szCs w:val="28"/>
        </w:rPr>
        <w:t>4.</w:t>
      </w:r>
      <w:r>
        <w:rPr>
          <w:b/>
          <w:sz w:val="28"/>
          <w:szCs w:val="28"/>
        </w:rPr>
        <w:t>高度重视班级管理，创新德育工作方法</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班级之于学校，犹如细胞之于肌体，每个细胞良性发展，肌体也就健康，每个班级管理都规范、高效，全校的德育工作也就有成效。</w:t>
      </w:r>
      <w:r>
        <w:rPr>
          <w:rFonts w:hint="eastAsia" w:asciiTheme="minorEastAsia" w:hAnsiTheme="minorEastAsia" w:eastAsiaTheme="minorEastAsia"/>
          <w:sz w:val="24"/>
          <w:szCs w:val="24"/>
        </w:rPr>
        <w:t>今年，我校</w:t>
      </w:r>
      <w:r>
        <w:rPr>
          <w:rFonts w:asciiTheme="minorEastAsia" w:hAnsiTheme="minorEastAsia" w:eastAsiaTheme="minorEastAsia"/>
          <w:sz w:val="24"/>
          <w:szCs w:val="24"/>
        </w:rPr>
        <w:t>有计划的选配班主任培养</w:t>
      </w:r>
      <w:r>
        <w:rPr>
          <w:rFonts w:hint="eastAsia" w:asciiTheme="minorEastAsia" w:hAnsiTheme="minorEastAsia" w:eastAsiaTheme="minorEastAsia"/>
          <w:sz w:val="24"/>
          <w:szCs w:val="24"/>
        </w:rPr>
        <w:t>，成立了“王惠英德育工作室”</w:t>
      </w:r>
      <w:r>
        <w:rPr>
          <w:rFonts w:asciiTheme="minorEastAsia" w:hAnsiTheme="minorEastAsia" w:eastAsiaTheme="minorEastAsia"/>
          <w:sz w:val="24"/>
          <w:szCs w:val="24"/>
        </w:rPr>
        <w:t>，加强班级管理的考核。推行“严、爱”结合的班级德育工作方法，在纪律方面、行为习惯方面、学习习惯方面严格要求，规范学生纪律意识，规范学生行为习惯，学习习惯。同时，真诚关爱职高学生，让冻土层得到阳光雨露，激发学生潜能。</w:t>
      </w:r>
    </w:p>
    <w:p>
      <w:pPr>
        <w:spacing w:before="156" w:beforeLines="50" w:line="360" w:lineRule="auto"/>
        <w:ind w:firstLine="562" w:firstLineChars="200"/>
        <w:rPr>
          <w:b/>
          <w:sz w:val="28"/>
          <w:szCs w:val="28"/>
        </w:rPr>
      </w:pPr>
      <w:r>
        <w:rPr>
          <w:rFonts w:hint="eastAsia"/>
          <w:b/>
          <w:sz w:val="28"/>
          <w:szCs w:val="28"/>
        </w:rPr>
        <w:t>5.</w:t>
      </w:r>
      <w:r>
        <w:rPr>
          <w:b/>
          <w:sz w:val="28"/>
          <w:szCs w:val="28"/>
        </w:rPr>
        <w:t>丰富学生德育活动，提升学生综合职业素养</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一是加强对职高学生进行德育专题教育，如开展社会主义核心价值观专题教育，开展中华民族优秀传统文化教育，开展新生入学教育及军训工作，开展男、女生青春期教育，心理健康教育，安全教育，生态文明教育，税法知识教育等。</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二是开展丰富多彩的文体活动，如“艺术节”活动、“</w:t>
      </w:r>
      <w:r>
        <w:rPr>
          <w:rFonts w:hint="eastAsia" w:asciiTheme="minorEastAsia" w:hAnsiTheme="minorEastAsia" w:eastAsiaTheme="minorEastAsia"/>
          <w:sz w:val="24"/>
          <w:szCs w:val="24"/>
        </w:rPr>
        <w:t>技能大赛</w:t>
      </w:r>
      <w:r>
        <w:rPr>
          <w:rFonts w:asciiTheme="minorEastAsia" w:hAnsiTheme="minorEastAsia" w:eastAsiaTheme="minorEastAsia"/>
          <w:sz w:val="24"/>
          <w:szCs w:val="24"/>
        </w:rPr>
        <w:t>”活动、运动会、重大节日文艺汇演等全校性大型活动。</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三是组建有益于学生成长的社团组织并定期开展活动，如篮球队、舞蹈队、礼仪队、园艺社、书法兴趣小组、跆拳道兴趣小组、摄影兴趣小组等。</w:t>
      </w:r>
    </w:p>
    <w:p>
      <w:pPr>
        <w:widowControl/>
        <w:jc w:val="left"/>
        <w:rPr>
          <w:rFonts w:ascii="方正小标宋简体" w:hAnsi="方正小标宋简体" w:eastAsia="方正小标宋简体" w:cs="方正小标宋简体"/>
          <w:bCs/>
          <w:i/>
          <w:color w:val="000000"/>
          <w:kern w:val="0"/>
          <w:sz w:val="28"/>
          <w:szCs w:val="28"/>
        </w:rPr>
      </w:pPr>
      <w:r>
        <w:rPr>
          <w:rFonts w:hint="eastAsia" w:ascii="方正小标宋简体" w:hAnsi="方正小标宋简体" w:eastAsia="方正小标宋简体" w:cs="方正小标宋简体"/>
          <w:bCs/>
          <w:i/>
          <w:color w:val="000000"/>
          <w:kern w:val="0"/>
          <w:sz w:val="28"/>
          <w:szCs w:val="28"/>
        </w:rPr>
        <w:t>【案例】</w:t>
      </w:r>
    </w:p>
    <w:p>
      <w:pPr>
        <w:spacing w:line="576" w:lineRule="exact"/>
        <w:jc w:val="center"/>
        <w:rPr>
          <w:rFonts w:hint="eastAsia" w:ascii="仿宋_GB2312" w:eastAsia="仿宋_GB2312"/>
          <w:sz w:val="28"/>
          <w:szCs w:val="28"/>
        </w:rPr>
      </w:pPr>
      <w:r>
        <w:rPr>
          <w:rFonts w:hint="eastAsia" w:ascii="仿宋_GB2312" w:eastAsia="仿宋_GB2312"/>
          <w:sz w:val="28"/>
          <w:szCs w:val="28"/>
        </w:rPr>
        <w:t>资中县职业技术学校礼仪艺术团</w:t>
      </w:r>
    </w:p>
    <w:p>
      <w:pPr>
        <w:spacing w:line="576" w:lineRule="exact"/>
        <w:jc w:val="center"/>
        <w:rPr>
          <w:rFonts w:hint="eastAsia" w:ascii="仿宋_GB2312" w:eastAsia="仿宋_GB2312"/>
          <w:sz w:val="28"/>
          <w:szCs w:val="28"/>
        </w:rPr>
      </w:pPr>
      <w:r>
        <w:rPr>
          <w:rFonts w:hint="eastAsia" w:ascii="仿宋_GB2312" w:eastAsia="仿宋_GB2312"/>
          <w:sz w:val="28"/>
          <w:szCs w:val="28"/>
        </w:rPr>
        <w:t>情况介绍</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资中县职业技术学校礼仪艺术团”成立于2019年2月，由原礼仪队发展而来，由学校党支部直接领导、团委管理的学生艺术团体，其主要目的是结合我校专业特色，以学习礼仪知识，宣传礼仪风范，培养学生高雅气质，服务地区经济发展。</w:t>
      </w:r>
    </w:p>
    <w:p>
      <w:pPr>
        <w:spacing w:before="156" w:beforeLines="50" w:line="360" w:lineRule="auto"/>
        <w:ind w:firstLine="480" w:firstLineChars="200"/>
        <w:jc w:val="left"/>
        <w:rPr>
          <w:rFonts w:hint="eastAsia" w:ascii="仿宋_GB2312" w:hAnsi="黑体" w:eastAsia="仿宋_GB2312"/>
          <w:sz w:val="24"/>
          <w:szCs w:val="24"/>
        </w:rPr>
      </w:pPr>
      <w:r>
        <w:rPr>
          <w:rFonts w:hint="eastAsia" w:ascii="仿宋_GB2312" w:hAnsi="黑体" w:eastAsia="仿宋_GB2312"/>
          <w:sz w:val="24"/>
          <w:szCs w:val="24"/>
        </w:rPr>
        <w:t>一、指导思想</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中国自古即是礼仪之邦，文化底蕴深厚，我校礼仪艺术团紧紧围绕习总书记提出的：教育的根本任务是培养德智体美劳全面发展的接班人，贯彻落实新时期立德树人根本任务，贯彻落实社会主义核心价值观，弘扬中华民族优秀传统文化，展示当代职高学生温文典雅的礼仪风范。</w:t>
      </w:r>
    </w:p>
    <w:p>
      <w:pPr>
        <w:spacing w:before="156" w:beforeLines="50" w:line="360" w:lineRule="auto"/>
        <w:ind w:firstLine="480" w:firstLineChars="200"/>
        <w:jc w:val="left"/>
        <w:rPr>
          <w:rFonts w:hint="eastAsia" w:ascii="仿宋_GB2312" w:hAnsi="黑体" w:eastAsia="仿宋_GB2312"/>
          <w:sz w:val="24"/>
          <w:szCs w:val="24"/>
        </w:rPr>
      </w:pPr>
      <w:r>
        <w:rPr>
          <w:rFonts w:hint="eastAsia" w:ascii="仿宋_GB2312" w:hAnsi="黑体" w:eastAsia="仿宋_GB2312"/>
          <w:sz w:val="24"/>
          <w:szCs w:val="24"/>
        </w:rPr>
        <w:t>二、组织机构</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艺术团团长：邓盛斌（资中县职业技术学校校长）</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艺术团副团长：叶启华（资中县职业技术学校分管学生工作副校长）</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成员：吴家彬（资中县职业技术学校政教处主任）</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 xml:space="preserve">      沈凡力（资中县职业技术学校团委书记）</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 xml:space="preserve">      江杭金（资中县职业技术学校团委副书记）</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 xml:space="preserve">      王晓佳（资中县职业技术学校教科室主任、艺术团专业指导教师）</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 xml:space="preserve">     黄未（资中县职业技术学校兼职艺术教师）</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团长职责：负责艺术团全面领导工作；</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副团长职责：负责艺术团具体协调管理工作；</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成员职责：吴家彬负责艺术团的外出表演、组织工作；</w:t>
      </w:r>
    </w:p>
    <w:p>
      <w:pPr>
        <w:spacing w:before="156" w:beforeLines="50" w:line="360" w:lineRule="auto"/>
        <w:ind w:firstLine="1680" w:firstLineChars="700"/>
        <w:jc w:val="left"/>
        <w:rPr>
          <w:rFonts w:hint="eastAsia" w:ascii="仿宋_GB2312" w:hAnsi="华文楷体" w:eastAsia="仿宋_GB2312"/>
          <w:sz w:val="24"/>
          <w:szCs w:val="24"/>
        </w:rPr>
      </w:pPr>
      <w:r>
        <w:rPr>
          <w:rFonts w:hint="eastAsia" w:ascii="仿宋_GB2312" w:hAnsi="华文楷体" w:eastAsia="仿宋_GB2312"/>
          <w:sz w:val="24"/>
          <w:szCs w:val="24"/>
        </w:rPr>
        <w:t>沈凡力负责艺术团的日常管理工作；</w:t>
      </w:r>
    </w:p>
    <w:p>
      <w:pPr>
        <w:spacing w:before="156" w:beforeLines="50" w:line="360" w:lineRule="auto"/>
        <w:ind w:firstLine="1680" w:firstLineChars="700"/>
        <w:jc w:val="left"/>
        <w:rPr>
          <w:rFonts w:hint="eastAsia" w:ascii="仿宋_GB2312" w:hAnsi="华文楷体" w:eastAsia="仿宋_GB2312"/>
          <w:sz w:val="24"/>
          <w:szCs w:val="24"/>
        </w:rPr>
      </w:pPr>
      <w:r>
        <w:rPr>
          <w:rFonts w:hint="eastAsia" w:ascii="仿宋_GB2312" w:hAnsi="华文楷体" w:eastAsia="仿宋_GB2312"/>
          <w:sz w:val="24"/>
          <w:szCs w:val="24"/>
        </w:rPr>
        <w:t>江杭金负责艺术团的团员、训练组织工作；</w:t>
      </w:r>
    </w:p>
    <w:p>
      <w:pPr>
        <w:spacing w:before="156" w:beforeLines="50" w:line="360" w:lineRule="auto"/>
        <w:ind w:firstLine="1680" w:firstLineChars="700"/>
        <w:jc w:val="left"/>
        <w:rPr>
          <w:rFonts w:hint="eastAsia" w:ascii="仿宋_GB2312" w:hAnsi="华文楷体" w:eastAsia="仿宋_GB2312"/>
          <w:sz w:val="24"/>
          <w:szCs w:val="24"/>
        </w:rPr>
      </w:pPr>
      <w:r>
        <w:rPr>
          <w:rFonts w:hint="eastAsia" w:ascii="仿宋_GB2312" w:hAnsi="华文楷体" w:eastAsia="仿宋_GB2312"/>
          <w:sz w:val="24"/>
          <w:szCs w:val="24"/>
        </w:rPr>
        <w:t>王晓佳负责学生礼仪知识理论培训及社会服务工作；</w:t>
      </w:r>
    </w:p>
    <w:p>
      <w:pPr>
        <w:spacing w:before="156" w:beforeLines="50" w:line="360" w:lineRule="auto"/>
        <w:ind w:firstLine="1680" w:firstLineChars="700"/>
        <w:jc w:val="left"/>
        <w:rPr>
          <w:rFonts w:hint="eastAsia" w:ascii="仿宋_GB2312" w:hAnsi="华文楷体" w:eastAsia="仿宋_GB2312"/>
          <w:sz w:val="24"/>
          <w:szCs w:val="24"/>
        </w:rPr>
      </w:pPr>
      <w:r>
        <w:rPr>
          <w:rFonts w:hint="eastAsia" w:ascii="仿宋_GB2312" w:hAnsi="华文楷体" w:eastAsia="仿宋_GB2312"/>
          <w:sz w:val="24"/>
          <w:szCs w:val="24"/>
        </w:rPr>
        <w:t>黄未负责艺术团专业培训及社会服务工作；</w:t>
      </w:r>
    </w:p>
    <w:p>
      <w:pPr>
        <w:spacing w:before="156" w:beforeLines="50" w:line="360" w:lineRule="auto"/>
        <w:ind w:firstLine="480" w:firstLineChars="200"/>
        <w:jc w:val="left"/>
        <w:rPr>
          <w:rFonts w:hint="eastAsia" w:ascii="仿宋_GB2312" w:hAnsi="黑体" w:eastAsia="仿宋_GB2312"/>
          <w:sz w:val="24"/>
          <w:szCs w:val="24"/>
        </w:rPr>
      </w:pPr>
      <w:r>
        <w:rPr>
          <w:rFonts w:hint="eastAsia" w:ascii="仿宋_GB2312" w:hAnsi="黑体" w:eastAsia="仿宋_GB2312"/>
          <w:sz w:val="24"/>
          <w:szCs w:val="24"/>
        </w:rPr>
        <w:t>三、工作措施</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1.组建了艺术团组织机构，由校长亲自担任艺术团团长，分管学生工作副校长担任艺术团副团长，选定的专业教师均是专业知识扎实的教师，其中王晓佳主任多次应邀在我县、市对各地区部门、各学校进行礼仪培训，黄未老师是我校空乘专业的兼职礼仪专业课教师，专业基本功扎实；</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2.制定了艺术团章程、方案，确定了艺术团的发展宗旨，符合新时期育人要求；</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3.艺术团指导教师根据团员的自身素质和艺术教学规律，制定了教学计划，确定了训练时间和方式：以每周二下午第七节课以专题社团活动的形式训练。</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4.选定艺术团成员：2019年2月，艺术团的专业老师以学校空乘专业学生、原礼仪队成员为主要对象，在其中选拔出19名优秀者，成为礼仪艺术团的一梯队成员。空乘专业在平时的专业课中，已涉及有形体、礼仪的专业授课，其基本功相对扎实，气质出众，加之原礼仪队成员已经有礼仪队的训练功底、实战经验，能挑起艺术团的大梁；另在全校各班中挑选外形、综合素质俱佳的部分同学，加入到艺术团的二梯队中，参与艺术团训练，以此扩大艺术团的覆盖面，辐射各班，对各班同学起一个引领带头影响作用，目前已选拔出12名二梯队成员。</w:t>
      </w:r>
    </w:p>
    <w:p>
      <w:pPr>
        <w:spacing w:before="156" w:beforeLines="50" w:line="360" w:lineRule="auto"/>
        <w:ind w:firstLine="480" w:firstLineChars="200"/>
        <w:jc w:val="left"/>
        <w:rPr>
          <w:rFonts w:hint="eastAsia" w:ascii="仿宋_GB2312" w:hAnsi="黑体" w:eastAsia="仿宋_GB2312"/>
          <w:sz w:val="24"/>
          <w:szCs w:val="24"/>
        </w:rPr>
      </w:pPr>
      <w:r>
        <w:rPr>
          <w:rFonts w:hint="eastAsia" w:ascii="仿宋_GB2312" w:hAnsi="黑体" w:eastAsia="仿宋_GB2312"/>
          <w:sz w:val="24"/>
          <w:szCs w:val="24"/>
        </w:rPr>
        <w:t>四、工作成效</w:t>
      </w:r>
    </w:p>
    <w:p>
      <w:pPr>
        <w:pStyle w:val="48"/>
        <w:spacing w:before="156" w:beforeLines="50" w:line="360" w:lineRule="auto"/>
        <w:ind w:firstLine="480"/>
        <w:jc w:val="left"/>
        <w:rPr>
          <w:rFonts w:hint="eastAsia" w:ascii="仿宋_GB2312" w:hAnsi="华文楷体" w:eastAsia="仿宋_GB2312"/>
          <w:sz w:val="24"/>
          <w:szCs w:val="24"/>
        </w:rPr>
      </w:pPr>
      <w:r>
        <w:rPr>
          <w:rFonts w:hint="eastAsia" w:ascii="仿宋_GB2312" w:hAnsi="华文楷体" w:eastAsia="仿宋_GB2312"/>
          <w:sz w:val="24"/>
          <w:szCs w:val="24"/>
        </w:rPr>
        <w:t>我校礼仪艺术团在社会各界的支持和帮助下，通过师生共同努力，初步取得了一些成绩，达到了礼仪艺术团的预期目标：</w:t>
      </w:r>
    </w:p>
    <w:p>
      <w:pPr>
        <w:pStyle w:val="48"/>
        <w:spacing w:before="156" w:beforeLines="50" w:line="360" w:lineRule="auto"/>
        <w:ind w:firstLine="480"/>
        <w:jc w:val="left"/>
        <w:rPr>
          <w:rFonts w:hint="eastAsia" w:ascii="仿宋_GB2312" w:hAnsi="华文楷体" w:eastAsia="仿宋_GB2312"/>
          <w:sz w:val="24"/>
          <w:szCs w:val="24"/>
        </w:rPr>
      </w:pPr>
      <w:r>
        <w:rPr>
          <w:rFonts w:hint="eastAsia" w:ascii="仿宋_GB2312" w:hAnsi="华文楷体" w:eastAsia="仿宋_GB2312"/>
          <w:sz w:val="24"/>
          <w:szCs w:val="24"/>
        </w:rPr>
        <w:t>&lt;一&gt;、通过礼仪艺术团的组建、训练、活动展示，艺术团学生综合素养明显提升，并在全校形成了讲礼仪、讲礼貌的良好氛围。</w:t>
      </w:r>
    </w:p>
    <w:p>
      <w:pPr>
        <w:pStyle w:val="48"/>
        <w:spacing w:before="156" w:beforeLines="50" w:line="360" w:lineRule="auto"/>
        <w:ind w:firstLine="480"/>
        <w:jc w:val="left"/>
        <w:rPr>
          <w:rFonts w:hint="eastAsia" w:ascii="仿宋_GB2312" w:hAnsi="华文楷体" w:eastAsia="仿宋_GB2312"/>
          <w:sz w:val="24"/>
          <w:szCs w:val="24"/>
        </w:rPr>
      </w:pPr>
      <w:r>
        <w:rPr>
          <w:rFonts w:hint="eastAsia" w:ascii="仿宋_GB2312" w:hAnsi="华文楷体" w:eastAsia="仿宋_GB2312"/>
          <w:sz w:val="24"/>
          <w:szCs w:val="24"/>
        </w:rPr>
        <w:t>&lt;二&gt;、积极服务社会，宣传礼仪知识，展示礼仪风范。</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1.2018年5月，我校礼仪队参加内江市职教育周活动，负责整个活动的礼仪服务，参加的节目获得观众一致好评；</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2.2018年6月，我校礼仪队参加县中小学生艺术节，其节目《梦想起飞》——快板+航空礼仪展示+韵律操获得一等奖；</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3.2019年3月1日，我校礼仪队应资中县财政局邀请对资中县财政局新招公务员进行礼仪培训；</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4.2019年4月20日，我校礼仪队应九三学社内江市委员会邀请对九三学社内江市委员会社员进行礼仪培训；</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5.2019年5月20日，我校礼仪队应内江师范学院邀请对内江市东兴区后备干部进行礼仪培训；</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6.2019年10月18日，我校礼仪队应资中县财政局邀请，对其新招公务员进行礼仪培训；</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7.2019年10月31日，我校礼仪队应内江师范学院邀请对东兴区校长书记进行礼仪培训；</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8.2019年11月10日，我校礼仪艺术团应内江师范学院邀请对威远县德育干部培训班学员进行礼仪培训；</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9.2019年11月14日，我校礼仪艺术团应内江师范学院邀请对遂宁市蓬溪县中层干部培训班学院进行礼仪培训；</w:t>
      </w:r>
    </w:p>
    <w:p>
      <w:pPr>
        <w:spacing w:before="156" w:beforeLines="50" w:line="360" w:lineRule="auto"/>
        <w:ind w:firstLine="480" w:firstLineChars="200"/>
        <w:jc w:val="left"/>
        <w:rPr>
          <w:rFonts w:hint="eastAsia" w:ascii="仿宋_GB2312" w:hAnsi="华文楷体" w:eastAsia="仿宋_GB2312"/>
          <w:sz w:val="24"/>
          <w:szCs w:val="24"/>
        </w:rPr>
      </w:pPr>
      <w:r>
        <w:rPr>
          <w:rFonts w:hint="eastAsia" w:ascii="仿宋_GB2312" w:hAnsi="华文楷体" w:eastAsia="仿宋_GB2312"/>
          <w:sz w:val="24"/>
          <w:szCs w:val="24"/>
        </w:rPr>
        <w:t>另外，我校礼仪艺术团还应邀参加了资中县教育系统诗词大会颁奖礼仪服务，内江市中小学生运动会礼仪服务、资中县统战部庆祝建国70周年礼仪展示、资中县社会学院全民终身学习启动大会礼仪服务等活动。</w:t>
      </w:r>
    </w:p>
    <w:p>
      <w:pPr>
        <w:spacing w:before="156" w:beforeLines="50" w:line="360" w:lineRule="auto"/>
        <w:jc w:val="left"/>
        <w:rPr>
          <w:rFonts w:hint="eastAsia" w:ascii="仿宋_GB2312" w:hAnsi="华文楷体" w:eastAsia="仿宋_GB2312"/>
          <w:sz w:val="24"/>
          <w:szCs w:val="24"/>
        </w:rPr>
      </w:pPr>
      <w:r>
        <w:rPr>
          <w:rFonts w:hint="eastAsia" w:ascii="仿宋_GB2312" w:hAnsi="华文楷体" w:eastAsia="仿宋_GB2312"/>
          <w:sz w:val="24"/>
          <w:szCs w:val="24"/>
        </w:rPr>
        <w:t>在各种外出参与礼仪活动、应邀参加礼仪培训的过程中，礼仪艺术团师生收获了实战经验，展示了礼仪艺术团的礼仪风貌，更提升了礼仪艺术团的综合素质，达到了培养学生专业素质，服务地区社会经济的目的。</w:t>
      </w:r>
    </w:p>
    <w:p>
      <w:pPr>
        <w:spacing w:before="156" w:beforeLines="50" w:line="360" w:lineRule="auto"/>
        <w:jc w:val="center"/>
        <w:rPr>
          <w:rFonts w:ascii="仿宋_GB2312" w:hAnsi="华文楷体" w:eastAsia="仿宋_GB2312"/>
          <w:sz w:val="24"/>
          <w:szCs w:val="24"/>
        </w:rPr>
      </w:pPr>
      <w:r>
        <w:rPr>
          <w:rFonts w:hint="eastAsia" w:ascii="楷体_GB2312" w:hAnsi="华文楷体" w:eastAsia="楷体_GB2312"/>
          <w:sz w:val="32"/>
          <w:szCs w:val="32"/>
        </w:rPr>
        <w:drawing>
          <wp:inline distT="0" distB="0" distL="0" distR="0">
            <wp:extent cx="2510155" cy="1883410"/>
            <wp:effectExtent l="0" t="0" r="4445" b="2540"/>
            <wp:docPr id="5" name="图片 5" descr="401d3f4d5936a3a456225ed4c29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1d3f4d5936a3a456225ed4c29438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10155" cy="1883410"/>
                    </a:xfrm>
                    <a:prstGeom prst="rect">
                      <a:avLst/>
                    </a:prstGeom>
                  </pic:spPr>
                </pic:pic>
              </a:graphicData>
            </a:graphic>
          </wp:inline>
        </w:drawing>
      </w:r>
      <w:r>
        <w:rPr>
          <w:rFonts w:hint="eastAsia" w:ascii="仿宋_GB2312" w:hAnsi="华文楷体" w:eastAsia="仿宋_GB2312"/>
          <w:sz w:val="24"/>
          <w:szCs w:val="24"/>
        </w:rPr>
        <w:t xml:space="preserve"> </w:t>
      </w:r>
      <w:r>
        <w:rPr>
          <w:rFonts w:hint="eastAsia" w:ascii="楷体_GB2312" w:hAnsi="华文楷体" w:eastAsia="楷体_GB2312"/>
          <w:sz w:val="32"/>
          <w:szCs w:val="32"/>
        </w:rPr>
        <w:drawing>
          <wp:inline distT="0" distB="0" distL="0" distR="0">
            <wp:extent cx="2545080" cy="1880870"/>
            <wp:effectExtent l="0" t="0" r="7620" b="5080"/>
            <wp:docPr id="4" name="图片 4" descr="58dde534240106365f0bc3354c13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8dde534240106365f0bc3354c13e0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5080" cy="1880870"/>
                    </a:xfrm>
                    <a:prstGeom prst="rect">
                      <a:avLst/>
                    </a:prstGeom>
                  </pic:spPr>
                </pic:pic>
              </a:graphicData>
            </a:graphic>
          </wp:inline>
        </w:drawing>
      </w:r>
    </w:p>
    <w:p>
      <w:pPr>
        <w:spacing w:before="156" w:beforeLines="50"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图3-3 礼仪艺术团图片</w:t>
      </w:r>
    </w:p>
    <w:p>
      <w:pPr>
        <w:spacing w:before="156" w:beforeLines="50" w:line="360" w:lineRule="auto"/>
        <w:ind w:firstLine="562" w:firstLineChars="200"/>
        <w:rPr>
          <w:b/>
          <w:sz w:val="28"/>
          <w:szCs w:val="28"/>
        </w:rPr>
      </w:pPr>
      <w:r>
        <w:rPr>
          <w:rFonts w:hint="eastAsia"/>
          <w:b/>
          <w:sz w:val="28"/>
          <w:szCs w:val="28"/>
        </w:rPr>
        <w:t>6.</w:t>
      </w:r>
      <w:r>
        <w:rPr>
          <w:b/>
          <w:sz w:val="28"/>
          <w:szCs w:val="28"/>
        </w:rPr>
        <w:t>加强德育队伍建设</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打造一支爱岗敬业，综合素质好，适应职业教育的优秀德育工作队伍，学校重点在“选好人，培养好平台、组织好培训提升”方面狠下功夫。对政教处、团委、安保处、专业部主任、班主任等相关人选进行认真筛选，把思想素质好，品德好，想干事，能干事的教师选拔到德育工作岗位，造就一支热爱职教，业务能力强的德育工作队伍。</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加强对班级工作的量化考核，完善班级量化考核方案，落实好考核制度。</w:t>
      </w:r>
    </w:p>
    <w:p>
      <w:pPr>
        <w:spacing w:before="156" w:beforeLines="50"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加强对班主任的培训提升。一是让班主任积极参加省、市、县的专项培训，提升班主任的业务水平，拓展班主任工作视野；二是请进专家进行专题培训；三是开展校本培训；四是采取以老带新的方式结对培训；五是开展班主任大赛，并积极参加省、市、县技能大赛。</w:t>
      </w:r>
    </w:p>
    <w:p>
      <w:pPr>
        <w:widowControl/>
        <w:jc w:val="left"/>
        <w:rPr>
          <w:rFonts w:ascii="方正小标宋简体" w:hAnsi="方正小标宋简体" w:eastAsia="方正小标宋简体" w:cs="方正小标宋简体"/>
          <w:bCs/>
          <w:i/>
          <w:color w:val="000000"/>
          <w:kern w:val="0"/>
          <w:sz w:val="28"/>
          <w:szCs w:val="28"/>
        </w:rPr>
      </w:pPr>
      <w:r>
        <w:rPr>
          <w:rFonts w:hint="eastAsia" w:ascii="方正小标宋简体" w:hAnsi="方正小标宋简体" w:eastAsia="方正小标宋简体" w:cs="方正小标宋简体"/>
          <w:bCs/>
          <w:i/>
          <w:color w:val="000000"/>
          <w:kern w:val="0"/>
          <w:sz w:val="28"/>
          <w:szCs w:val="28"/>
        </w:rPr>
        <w:t>【案例】</w:t>
      </w:r>
    </w:p>
    <w:p>
      <w:pPr>
        <w:spacing w:before="156" w:beforeLines="50" w:line="360" w:lineRule="auto"/>
        <w:ind w:firstLine="560" w:firstLineChars="200"/>
        <w:jc w:val="center"/>
        <w:rPr>
          <w:rFonts w:hint="eastAsia" w:ascii="仿宋_GB2312" w:hAnsi="宋体" w:eastAsia="仿宋_GB2312"/>
          <w:sz w:val="28"/>
          <w:szCs w:val="28"/>
        </w:rPr>
      </w:pPr>
      <w:r>
        <w:rPr>
          <w:rFonts w:hint="eastAsia" w:ascii="仿宋_GB2312" w:hAnsi="宋体" w:eastAsia="仿宋_GB2312"/>
          <w:sz w:val="28"/>
          <w:szCs w:val="28"/>
        </w:rPr>
        <w:t>资中职校召开“王惠英德育工作室”成立大会</w:t>
      </w:r>
    </w:p>
    <w:p>
      <w:pPr>
        <w:spacing w:before="156" w:beforeLines="50" w:line="360"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2019年6月22日下午，四川省资中县职业技术学校“王惠英德育工作室”成立大会在会议室隆重召开，资中职校全校的班主任、德育教师欢聚一堂，总结德育经验，共话育人新理念，会议由校长邓盛斌主持。</w:t>
      </w:r>
    </w:p>
    <w:p>
      <w:pPr>
        <w:spacing w:before="156" w:beforeLines="50" w:line="360"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在“王惠英德育工作室”成立大会上，首先通过了《王慧英德育工作室章程》，然后，王惠英老师诠释了她的班主任情怀，她分享了多年班主任工作的宝贵经验，鼓励大家要热爱班主任岗位，学会创造幸福。该名师着重介绍了以班级量化管理促班风、以竞争意识促学风的班级管理经验。王老师认为，班主任一定要学会与家长的良性沟通，多开展素质教育活动，形成浓厚的育人氛围，做学生成长道路上的引路人，用良好的班风推动班级建设的积极发展。</w:t>
      </w:r>
    </w:p>
    <w:p>
      <w:pPr>
        <w:spacing w:before="156" w:beforeLines="50" w:line="360"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最后，邓校长做总结性发言。邓校长表示，学校成立了德育名师工作室，将发挥名师的示范引领作用，推动德育工作“更上一层楼”。</w:t>
      </w:r>
    </w:p>
    <w:p>
      <w:pPr>
        <w:spacing w:before="156" w:beforeLines="50" w:line="360" w:lineRule="auto"/>
        <w:ind w:firstLine="480" w:firstLineChars="200"/>
        <w:rPr>
          <w:rFonts w:ascii="宋体" w:hAnsi="宋体"/>
          <w:sz w:val="28"/>
          <w:szCs w:val="28"/>
        </w:rPr>
      </w:pPr>
      <w:r>
        <w:rPr>
          <w:rFonts w:hint="eastAsia" w:ascii="仿宋_GB2312" w:hAnsi="宋体" w:eastAsia="仿宋_GB2312"/>
          <w:sz w:val="24"/>
          <w:szCs w:val="24"/>
        </w:rPr>
        <w:t>资中职校通过召开“王惠英德育工作室”成立大会，团结各部门和班主任，一定会脚踏实地探索出一条全员育人、全程育人、全方位育人的道路。</w:t>
      </w:r>
    </w:p>
    <w:p>
      <w:pPr>
        <w:jc w:val="center"/>
        <w:rPr>
          <w:b/>
          <w:sz w:val="32"/>
          <w:szCs w:val="28"/>
        </w:rPr>
      </w:pPr>
      <w:r>
        <w:rPr>
          <w:rFonts w:hint="eastAsia"/>
          <w:b/>
          <w:sz w:val="32"/>
          <w:szCs w:val="28"/>
        </w:rPr>
        <w:drawing>
          <wp:inline distT="0" distB="0" distL="114300" distR="114300">
            <wp:extent cx="2362200" cy="1771650"/>
            <wp:effectExtent l="0" t="0" r="0" b="0"/>
            <wp:docPr id="49" name="图片 49" descr="50cb6e69d79aad805f7c87cd0345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0cb6e69d79aad805f7c87cd0345ca1"/>
                    <pic:cNvPicPr>
                      <a:picLocks noChangeAspect="1"/>
                    </pic:cNvPicPr>
                  </pic:nvPicPr>
                  <pic:blipFill>
                    <a:blip r:embed="rId17"/>
                    <a:stretch>
                      <a:fillRect/>
                    </a:stretch>
                  </pic:blipFill>
                  <pic:spPr>
                    <a:xfrm>
                      <a:off x="0" y="0"/>
                      <a:ext cx="2360721" cy="1770726"/>
                    </a:xfrm>
                    <a:prstGeom prst="rect">
                      <a:avLst/>
                    </a:prstGeom>
                  </pic:spPr>
                </pic:pic>
              </a:graphicData>
            </a:graphic>
          </wp:inline>
        </w:drawing>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图3-4  “王惠英德育工作室”成立大会</w:t>
      </w:r>
    </w:p>
    <w:bookmarkEnd w:id="34"/>
    <w:p>
      <w:pPr>
        <w:pStyle w:val="3"/>
        <w:spacing w:before="156" w:beforeLines="50" w:after="0"/>
        <w:rPr>
          <w:rFonts w:ascii="黑体" w:hAnsi="黑体" w:eastAsia="黑体"/>
          <w:sz w:val="28"/>
          <w:szCs w:val="28"/>
        </w:rPr>
      </w:pPr>
      <w:bookmarkStart w:id="35" w:name="_Toc29894705"/>
      <w:bookmarkStart w:id="36" w:name="_Toc501482419"/>
      <w:r>
        <w:rPr>
          <w:rFonts w:hint="eastAsia" w:ascii="黑体" w:hAnsi="黑体" w:eastAsia="黑体"/>
          <w:sz w:val="28"/>
          <w:szCs w:val="28"/>
        </w:rPr>
        <w:t>（六）党建工作</w:t>
      </w:r>
      <w:bookmarkEnd w:id="35"/>
    </w:p>
    <w:p>
      <w:pPr>
        <w:spacing w:before="156" w:beforeLines="50" w:line="360" w:lineRule="auto"/>
        <w:ind w:firstLine="562" w:firstLineChars="200"/>
        <w:rPr>
          <w:b/>
          <w:sz w:val="28"/>
          <w:szCs w:val="28"/>
        </w:rPr>
      </w:pPr>
      <w:r>
        <w:rPr>
          <w:rFonts w:hint="eastAsia"/>
          <w:b/>
          <w:sz w:val="28"/>
          <w:szCs w:val="28"/>
        </w:rPr>
        <w:t>1.结合主题教育，发挥党员示范引领作用</w:t>
      </w:r>
    </w:p>
    <w:p>
      <w:pPr>
        <w:spacing w:before="156" w:beforeLines="50" w:line="360" w:lineRule="auto"/>
        <w:ind w:firstLine="480" w:firstLineChars="200"/>
        <w:rPr>
          <w:sz w:val="24"/>
          <w:szCs w:val="24"/>
        </w:rPr>
      </w:pPr>
      <w:r>
        <w:rPr>
          <w:rFonts w:hint="eastAsia"/>
          <w:sz w:val="24"/>
          <w:szCs w:val="24"/>
        </w:rPr>
        <w:t>在学校发展的关键一年，适逢主题教育的开展，学校组织党员及职工认真学习习近平新时代中国特色社会主义思想，重点学习《纲要》、《摘编》、《汇编》，组织党员同志学习《党章》、《准则》。全面提升党员的理论素养、政治素养，指导实际工作，深刻反思在不忘初心、牢记使命中的差距，对标查找问题，深入开展调查研究，认真组织专题民主生活会和组织生活会，全面落实多项整改措施。在主题教育中，党员干部、党员同志纷纷表示，一定要重拾过去学校发展的初心，担当起学校再发展的使命，全身心地投入到学校发展之中，在学校发展、教育教学内涵提升、示范校建设等方面起到示范引领作用。</w:t>
      </w:r>
    </w:p>
    <w:p>
      <w:pPr>
        <w:spacing w:before="156" w:beforeLines="50" w:line="360" w:lineRule="auto"/>
        <w:ind w:firstLine="562" w:firstLineChars="200"/>
        <w:rPr>
          <w:b/>
          <w:sz w:val="28"/>
          <w:szCs w:val="28"/>
        </w:rPr>
      </w:pPr>
      <w:r>
        <w:rPr>
          <w:rFonts w:hint="eastAsia"/>
          <w:b/>
          <w:sz w:val="28"/>
          <w:szCs w:val="28"/>
        </w:rPr>
        <w:t>2.以“五型”党组织建设为主线，做好党建常规工作</w:t>
      </w:r>
    </w:p>
    <w:p>
      <w:pPr>
        <w:spacing w:before="156" w:beforeLines="50" w:line="360" w:lineRule="auto"/>
        <w:ind w:firstLine="480" w:firstLineChars="200"/>
        <w:rPr>
          <w:sz w:val="24"/>
          <w:szCs w:val="24"/>
        </w:rPr>
      </w:pPr>
      <w:r>
        <w:rPr>
          <w:rFonts w:hint="eastAsia"/>
          <w:sz w:val="24"/>
          <w:szCs w:val="24"/>
        </w:rPr>
        <w:t>按照教体局“五型”党组织建设的要求，学校党支部修订完善党建工作制度，规范落实“三会一课”制度，认真组织党员学习习近平新时代中国特色社会主义思想和上级相关政策、文件、会议精神；充分利用职教特色，突出服务型党组织建设；积极落实党风廉政建设工作，加强廉洁型党组织建设。</w:t>
      </w:r>
    </w:p>
    <w:p>
      <w:pPr>
        <w:spacing w:before="156" w:beforeLines="50" w:line="360" w:lineRule="auto"/>
        <w:ind w:firstLine="562" w:firstLineChars="200"/>
        <w:rPr>
          <w:b/>
          <w:sz w:val="28"/>
          <w:szCs w:val="28"/>
        </w:rPr>
      </w:pPr>
      <w:r>
        <w:rPr>
          <w:rFonts w:hint="eastAsia"/>
          <w:b/>
          <w:sz w:val="28"/>
          <w:szCs w:val="28"/>
        </w:rPr>
        <w:t>3.以巡察整改为动力，规范党建工作</w:t>
      </w:r>
    </w:p>
    <w:p>
      <w:pPr>
        <w:spacing w:before="156" w:beforeLines="50" w:line="360" w:lineRule="auto"/>
        <w:ind w:firstLine="480" w:firstLineChars="200"/>
        <w:rPr>
          <w:sz w:val="24"/>
          <w:szCs w:val="24"/>
        </w:rPr>
      </w:pPr>
      <w:r>
        <w:rPr>
          <w:rFonts w:hint="eastAsia"/>
          <w:sz w:val="24"/>
          <w:szCs w:val="24"/>
        </w:rPr>
        <w:t>2018年9月，学校接受资中县委第四巡察组巡察。根据巡察组提出的整改要求，党支部积极落实整改。一是在党的政治建设方面，认真落实“三会一课”制度，规范议事决策程序，加强民主管理和监督力度，规范开展领导班子民主生活会和巡察整改专题民主生活会。二是在党的思想建设方面，与示范校建设相结合，着力开展以“真”为核心的校园文化建设。三是在党的组织建设方面，规范党员发展程序，认真清理收缴党费。四是在党的作风建设、纪律建设方面，规范财经管理制度，规范财务报销程序，规范公务接待、差旅费管理。巡察整改后，学校党建工作规范，得到上级部门的好评和师生的认可。</w:t>
      </w:r>
    </w:p>
    <w:p>
      <w:pPr>
        <w:spacing w:before="156" w:beforeLines="50" w:line="360" w:lineRule="auto"/>
        <w:ind w:firstLine="562" w:firstLineChars="200"/>
        <w:rPr>
          <w:b/>
          <w:sz w:val="28"/>
          <w:szCs w:val="28"/>
        </w:rPr>
      </w:pPr>
      <w:r>
        <w:rPr>
          <w:rFonts w:hint="eastAsia"/>
          <w:b/>
          <w:sz w:val="28"/>
          <w:szCs w:val="28"/>
        </w:rPr>
        <w:t>4.以省“示范校”建设为契机，创建党建工作特色</w:t>
      </w:r>
    </w:p>
    <w:p>
      <w:pPr>
        <w:spacing w:before="156" w:beforeLines="50" w:line="360" w:lineRule="auto"/>
        <w:ind w:firstLine="480" w:firstLineChars="200"/>
        <w:rPr>
          <w:sz w:val="24"/>
          <w:szCs w:val="24"/>
        </w:rPr>
      </w:pPr>
      <w:r>
        <w:rPr>
          <w:rFonts w:hint="eastAsia"/>
          <w:sz w:val="24"/>
          <w:szCs w:val="24"/>
        </w:rPr>
        <w:t>（1）充分利用职教优势，创建服务型党建特色。</w:t>
      </w:r>
    </w:p>
    <w:p>
      <w:pPr>
        <w:spacing w:before="156" w:beforeLines="50" w:line="360" w:lineRule="auto"/>
        <w:ind w:firstLine="480" w:firstLineChars="200"/>
        <w:rPr>
          <w:sz w:val="24"/>
          <w:szCs w:val="24"/>
        </w:rPr>
      </w:pPr>
      <w:r>
        <w:rPr>
          <w:rFonts w:hint="eastAsia"/>
          <w:sz w:val="24"/>
          <w:szCs w:val="24"/>
        </w:rPr>
        <w:t>一是派出专业课教师李必刚、周波、彭雪锋作为资中县双龙镇、龙江镇贫困村驻村工作队队员，深入开展精准扶贫；二是在农业类专业中推行“家、校、生”融通机制建设；三是通过工学结合等多渠道解决精准扶贫学生及困难学生就读中职的困难，让学生自己挣钱读书；四是订单式培养、现代学徒制改革试点等工作特色明显，产教融合上新台阶。</w:t>
      </w:r>
    </w:p>
    <w:p>
      <w:pPr>
        <w:spacing w:before="156" w:beforeLines="50" w:line="360" w:lineRule="auto"/>
        <w:ind w:firstLine="480" w:firstLineChars="200"/>
        <w:rPr>
          <w:sz w:val="24"/>
          <w:szCs w:val="24"/>
        </w:rPr>
      </w:pPr>
      <w:r>
        <w:rPr>
          <w:rFonts w:hint="eastAsia"/>
          <w:sz w:val="24"/>
          <w:szCs w:val="24"/>
        </w:rPr>
        <w:t>（2）扎实推进“典型培塑”工作。</w:t>
      </w:r>
    </w:p>
    <w:p>
      <w:pPr>
        <w:spacing w:before="156" w:beforeLines="50" w:line="360" w:lineRule="auto"/>
        <w:ind w:firstLine="480" w:firstLineChars="200"/>
        <w:rPr>
          <w:sz w:val="24"/>
          <w:szCs w:val="24"/>
        </w:rPr>
      </w:pPr>
      <w:r>
        <w:rPr>
          <w:rFonts w:hint="eastAsia"/>
          <w:sz w:val="24"/>
          <w:szCs w:val="24"/>
        </w:rPr>
        <w:t>党员干部以校为家，大部分中层领导担任班主任，校级领导带班上课，促进了学校管理的规范与发展。一大批党员同志在教学中真诚关爱学生，激发学生的潜力，让基础较差的学生成才。2019年，在党员同志和教职工的努力下，学校对口高考成绩斐然。“单招”312人参考，录取299人，录取率达95.8%；本科上线12人，居内江市中职学校第一名。初中毕业班31名学生参考，21人被省级重点中学录取。</w:t>
      </w:r>
    </w:p>
    <w:p>
      <w:pPr>
        <w:widowControl/>
        <w:jc w:val="left"/>
        <w:rPr>
          <w:rFonts w:ascii="方正小标宋简体" w:hAnsi="方正小标宋简体" w:eastAsia="方正小标宋简体" w:cs="方正小标宋简体"/>
          <w:bCs/>
          <w:i/>
          <w:color w:val="000000"/>
          <w:kern w:val="0"/>
          <w:sz w:val="28"/>
          <w:szCs w:val="28"/>
        </w:rPr>
      </w:pPr>
      <w:r>
        <w:rPr>
          <w:rFonts w:hint="eastAsia" w:ascii="方正小标宋简体" w:hAnsi="方正小标宋简体" w:eastAsia="方正小标宋简体" w:cs="方正小标宋简体"/>
          <w:bCs/>
          <w:i/>
          <w:color w:val="000000"/>
          <w:kern w:val="0"/>
          <w:sz w:val="28"/>
          <w:szCs w:val="28"/>
        </w:rPr>
        <w:t>【案例】</w:t>
      </w:r>
    </w:p>
    <w:p>
      <w:pPr>
        <w:jc w:val="center"/>
        <w:rPr>
          <w:rFonts w:hint="eastAsia" w:ascii="仿宋_GB2312" w:eastAsia="仿宋_GB2312" w:cs="方正小标宋简体" w:hAnsiTheme="majorEastAsia"/>
          <w:sz w:val="28"/>
          <w:szCs w:val="28"/>
        </w:rPr>
      </w:pPr>
      <w:r>
        <w:rPr>
          <w:rFonts w:hint="eastAsia" w:ascii="仿宋_GB2312" w:eastAsia="仿宋_GB2312" w:cs="方正小标宋简体" w:hAnsiTheme="majorEastAsia"/>
          <w:sz w:val="28"/>
          <w:szCs w:val="28"/>
        </w:rPr>
        <w:t>党建树旗帜 职教创品牌</w:t>
      </w:r>
    </w:p>
    <w:p>
      <w:pPr>
        <w:spacing w:before="156" w:beforeLines="50" w:line="360" w:lineRule="auto"/>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资中县双龙职中党支部以“五型”党组织建设为载体，党建工作紧紧围绕学校职教事业的发展，紧紧围绕服务地方经济、社会发展，紧紧围绕学生综合素质提高，形成了“党建树旗帜、职教创品牌”的良好局面。</w:t>
      </w:r>
    </w:p>
    <w:p>
      <w:pPr>
        <w:spacing w:before="156" w:beforeLines="50" w:line="360" w:lineRule="auto"/>
        <w:ind w:left="64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一、党建引领学校发展</w:t>
      </w:r>
    </w:p>
    <w:p>
      <w:pPr>
        <w:spacing w:before="156" w:beforeLines="50" w:line="360" w:lineRule="auto"/>
        <w:ind w:left="64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1、积极创建四川省示范中职学校</w:t>
      </w:r>
    </w:p>
    <w:p>
      <w:pPr>
        <w:spacing w:before="156" w:beforeLines="50" w:line="360" w:lineRule="auto"/>
        <w:ind w:firstLine="480" w:firstLineChars="20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为了推动资中县职教发展，助力农村脱贫攻坚，服务丘区经济强县建设目标，学校积极探索职教发展新思路，提出了职教资源整合，创办资中县职业技术学校的思路，得到了县政府的支持，四川省教育厅已予以批复。动员全校力量提升办学水平，补短板，强根本，提出了创建四川省校风示范中等职业学校奋斗目标，目前创示各项工作有序推进，整体态势喜人。</w:t>
      </w:r>
    </w:p>
    <w:p>
      <w:pPr>
        <w:spacing w:before="156" w:beforeLines="50" w:line="360" w:lineRule="auto"/>
        <w:ind w:left="64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2、党员在学校发展中起到先锋模范作用</w:t>
      </w:r>
    </w:p>
    <w:p>
      <w:pPr>
        <w:spacing w:before="156" w:beforeLines="50" w:line="360" w:lineRule="auto"/>
        <w:ind w:firstLine="600" w:firstLineChars="25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双龙职中党支部在学校建设和发展中一直发挥着先锋模范作用，党员干部以校为家，展现了职教人的风采。学校最艰苦的工作岗位都有党员的身影。大部分中层领导担任了班主任，校级领导也带班上课。学校基础建设大部分工作是党员同志义务完成，比如平整操场、修建花台、花园、义务植树、搬运实训设备，</w:t>
      </w:r>
    </w:p>
    <w:p>
      <w:pPr>
        <w:spacing w:before="156" w:beforeLines="50" w:line="360" w:lineRule="auto"/>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洪水抢险，党员同志都是冲锋在前。优秀党员展现了人民教师新形象“铁人”“傅妈”“魏妈”“石头”等称呼是师生发自内心的赞许。</w:t>
      </w:r>
    </w:p>
    <w:p>
      <w:pPr>
        <w:spacing w:before="156" w:beforeLines="50" w:line="360" w:lineRule="auto"/>
        <w:ind w:left="64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3、党建引领职教特色创建</w:t>
      </w:r>
    </w:p>
    <w:p>
      <w:pPr>
        <w:spacing w:before="156" w:beforeLines="50" w:line="360" w:lineRule="auto"/>
        <w:ind w:firstLine="480" w:firstLineChars="200"/>
        <w:rPr>
          <w:rFonts w:cs="仿宋_GB2312" w:asciiTheme="minorEastAsia" w:hAnsiTheme="minorEastAsia" w:eastAsiaTheme="minorEastAsia"/>
          <w:sz w:val="24"/>
          <w:szCs w:val="24"/>
        </w:rPr>
      </w:pPr>
      <w:r>
        <w:rPr>
          <w:rFonts w:hint="eastAsia" w:cs="黑体" w:asciiTheme="minorEastAsia" w:hAnsiTheme="minorEastAsia" w:eastAsiaTheme="minorEastAsia"/>
          <w:sz w:val="24"/>
          <w:szCs w:val="24"/>
        </w:rPr>
        <w:t>在党支部的指导下，学校在职教发展中，不断创新，创建自身职教特色，坚持“对口升学、就业”两条腿走路，对口高考成绩突出，名列内江市中职学校前茅，推行“5S”管理，有效提升学生素养，探索“现代学徒制”育人模式改革和专业课“项目过关制”教学改革，学生专业技能明显增强。目前，学校职教特色初步显现，并在市县推广。</w:t>
      </w:r>
      <w:r>
        <w:rPr>
          <w:rFonts w:cs="仿宋_GB2312" w:asciiTheme="minorEastAsia" w:hAnsiTheme="minorEastAsia" w:eastAsiaTheme="minorEastAsia"/>
          <w:sz w:val="24"/>
          <w:szCs w:val="24"/>
        </w:rPr>
        <mc:AlternateContent>
          <mc:Choice Requires="wps">
            <w:drawing>
              <wp:anchor distT="0" distB="0" distL="114300" distR="114300" simplePos="0" relativeHeight="251656192" behindDoc="0" locked="0" layoutInCell="1" allowOverlap="1">
                <wp:simplePos x="0" y="0"/>
                <wp:positionH relativeFrom="column">
                  <wp:posOffset>-3914775</wp:posOffset>
                </wp:positionH>
                <wp:positionV relativeFrom="paragraph">
                  <wp:posOffset>904875</wp:posOffset>
                </wp:positionV>
                <wp:extent cx="1304925" cy="266700"/>
                <wp:effectExtent l="4445" t="4445" r="5080" b="14605"/>
                <wp:wrapNone/>
                <wp:docPr id="27" name="文本框 27"/>
                <wp:cNvGraphicFramePr/>
                <a:graphic xmlns:a="http://schemas.openxmlformats.org/drawingml/2006/main">
                  <a:graphicData uri="http://schemas.microsoft.com/office/word/2010/wordprocessingShape">
                    <wps:wsp>
                      <wps:cNvSpPr txBox="1"/>
                      <wps:spPr>
                        <a:xfrm>
                          <a:off x="0" y="0"/>
                          <a:ext cx="1304925"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洪灾中抢抬抽水机</w:t>
                            </w:r>
                          </w:p>
                        </w:txbxContent>
                      </wps:txbx>
                      <wps:bodyPr upright="1"/>
                    </wps:wsp>
                  </a:graphicData>
                </a:graphic>
              </wp:anchor>
            </w:drawing>
          </mc:Choice>
          <mc:Fallback>
            <w:pict>
              <v:shape id="_x0000_s1026" o:spid="_x0000_s1026" o:spt="202" type="#_x0000_t202" style="position:absolute;left:0pt;margin-left:-308.25pt;margin-top:71.25pt;height:21pt;width:102.75pt;z-index:251656192;mso-width-relative:page;mso-height-relative:page;" fillcolor="#FFFFFF" filled="t" stroked="t" coordsize="21600,21600" o:gfxdata="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ttgf9sAAAANAQAADwAAAAAAAAABACAAAAAiAAAAZHJzL2Rvd25yZXYu&#10;eG1sUEsBAhQAFAAAAAgAh07iQDcTD674AQAA+AMAAA4AAAAAAAAAAQAgAAAAKgEAAGRycy9lMm9E&#10;b2MueG1sUEsFBgAAAAAGAAYAWQEAAJQFAAAAAA==&#10;">
                <v:fill on="t" focussize="0,0"/>
                <v:stroke color="#000000" joinstyle="miter"/>
                <v:imagedata o:title=""/>
                <o:lock v:ext="edit" aspectratio="f"/>
                <v:textbox>
                  <w:txbxContent>
                    <w:p>
                      <w:r>
                        <w:rPr>
                          <w:rFonts w:hint="eastAsia"/>
                        </w:rPr>
                        <w:t>洪灾中抢抬抽水机</w:t>
                      </w:r>
                    </w:p>
                  </w:txbxContent>
                </v:textbox>
              </v:shape>
            </w:pict>
          </mc:Fallback>
        </mc:AlternateContent>
      </w:r>
      <w:r>
        <w:rPr>
          <w:rFonts w:cs="仿宋_GB2312" w:asciiTheme="minorEastAsia" w:hAnsiTheme="minorEastAsia" w:eastAsiaTheme="minorEastAsia"/>
          <w:sz w:val="24"/>
          <w:szCs w:val="24"/>
        </w:rPr>
        <mc:AlternateContent>
          <mc:Choice Requires="wps">
            <w:drawing>
              <wp:anchor distT="0" distB="0" distL="114300" distR="114300" simplePos="0" relativeHeight="251660288" behindDoc="0" locked="0" layoutInCell="1" allowOverlap="1">
                <wp:simplePos x="0" y="0"/>
                <wp:positionH relativeFrom="column">
                  <wp:posOffset>-4105275</wp:posOffset>
                </wp:positionH>
                <wp:positionV relativeFrom="paragraph">
                  <wp:posOffset>-275590</wp:posOffset>
                </wp:positionV>
                <wp:extent cx="1504950" cy="276225"/>
                <wp:effectExtent l="4445" t="4445" r="14605" b="5080"/>
                <wp:wrapNone/>
                <wp:docPr id="26" name="文本框 26"/>
                <wp:cNvGraphicFramePr/>
                <a:graphic xmlns:a="http://schemas.openxmlformats.org/drawingml/2006/main">
                  <a:graphicData uri="http://schemas.microsoft.com/office/word/2010/wordprocessingShape">
                    <wps:wsp>
                      <wps:cNvSpPr txBox="1"/>
                      <wps:spPr>
                        <a:xfrm>
                          <a:off x="0" y="0"/>
                          <a:ext cx="1504950"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洪灾后抢修供水系统</w:t>
                            </w:r>
                          </w:p>
                        </w:txbxContent>
                      </wps:txbx>
                      <wps:bodyPr vert="horz" anchor="t" upright="1"/>
                    </wps:wsp>
                  </a:graphicData>
                </a:graphic>
              </wp:anchor>
            </w:drawing>
          </mc:Choice>
          <mc:Fallback>
            <w:pict>
              <v:shape id="_x0000_s1026" o:spid="_x0000_s1026" o:spt="202" type="#_x0000_t202" style="position:absolute;left:0pt;margin-left:-323.25pt;margin-top:-21.7pt;height:21.75pt;width:118.5pt;z-index:251660288;mso-width-relative:page;mso-height-relative:page;" fillcolor="#FFFFFF" filled="t" stroked="t" coordsize="21600,21600" o:gfxdata="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HJSK9gAAAAKAQAADwAAAAAAAAABACAAAAAiAAAAZHJz&#10;L2Rvd25yZXYueG1sUEsBAhQAFAAAAAgAh07iQASVdbIEAgAADwQAAA4AAAAAAAAAAQAgAAAAJwEA&#10;AGRycy9lMm9Eb2MueG1sUEsFBgAAAAAGAAYAWQEAAJ0FAAAAAA==&#10;">
                <v:fill on="t" focussize="0,0"/>
                <v:stroke color="#000000" joinstyle="miter"/>
                <v:imagedata o:title=""/>
                <o:lock v:ext="edit" aspectratio="f"/>
                <v:textbox>
                  <w:txbxContent>
                    <w:p>
                      <w:r>
                        <w:rPr>
                          <w:rFonts w:hint="eastAsia"/>
                        </w:rPr>
                        <w:t>洪灾后抢修供水系统</w:t>
                      </w:r>
                    </w:p>
                  </w:txbxContent>
                </v:textbox>
              </v:shape>
            </w:pict>
          </mc:Fallback>
        </mc:AlternateContent>
      </w:r>
      <w:r>
        <w:rPr>
          <w:rFonts w:cs="仿宋_GB2312" w:asciiTheme="minorEastAsia" w:hAnsiTheme="minorEastAsia"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-3829050</wp:posOffset>
                </wp:positionH>
                <wp:positionV relativeFrom="paragraph">
                  <wp:posOffset>209550</wp:posOffset>
                </wp:positionV>
                <wp:extent cx="1228725" cy="323850"/>
                <wp:effectExtent l="4445" t="4445" r="5080" b="14605"/>
                <wp:wrapNone/>
                <wp:docPr id="23" name="文本框 23"/>
                <wp:cNvGraphicFramePr/>
                <a:graphic xmlns:a="http://schemas.openxmlformats.org/drawingml/2006/main">
                  <a:graphicData uri="http://schemas.microsoft.com/office/word/2010/wordprocessingShape">
                    <wps:wsp>
                      <wps:cNvSpPr txBox="1"/>
                      <wps:spPr>
                        <a:xfrm>
                          <a:off x="0" y="0"/>
                          <a:ext cx="122872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5S集会中的学生</w:t>
                            </w:r>
                          </w:p>
                        </w:txbxContent>
                      </wps:txbx>
                      <wps:bodyPr upright="1"/>
                    </wps:wsp>
                  </a:graphicData>
                </a:graphic>
              </wp:anchor>
            </w:drawing>
          </mc:Choice>
          <mc:Fallback>
            <w:pict>
              <v:shape id="_x0000_s1026" o:spid="_x0000_s1026" o:spt="202" type="#_x0000_t202" style="position:absolute;left:0pt;margin-left:-301.5pt;margin-top:16.5pt;height:25.5pt;width:96.75pt;z-index:251661312;mso-width-relative:page;mso-height-relative:page;" fillcolor="#FFFFFF" filled="t" stroked="t" coordsize="21600,21600" o:gfxdata="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RJO/jZAAAACwEAAA8AAAAAAAAAAQAgAAAAIgAAAGRycy9kb3ducmV2Lnht&#10;bFBLAQIUABQAAAAIAIdO4kAiXFpj+AEAAPgDAAAOAAAAAAAAAAEAIAAAACgBAABkcnMvZTJvRG9j&#10;LnhtbFBLBQYAAAAABgAGAFkBAACSBQAAAAA=&#10;">
                <v:fill on="t" focussize="0,0"/>
                <v:stroke color="#000000" joinstyle="miter"/>
                <v:imagedata o:title=""/>
                <o:lock v:ext="edit" aspectratio="f"/>
                <v:textbox>
                  <w:txbxContent>
                    <w:p>
                      <w:r>
                        <w:rPr>
                          <w:rFonts w:hint="eastAsia"/>
                        </w:rPr>
                        <w:t>5S集会中的学生</w:t>
                      </w:r>
                    </w:p>
                  </w:txbxContent>
                </v:textbox>
              </v:shape>
            </w:pict>
          </mc:Fallback>
        </mc:AlternateContent>
      </w:r>
      <w:r>
        <w:rPr>
          <w:rFonts w:cs="仿宋_GB2312" w:asciiTheme="minorEastAsia" w:hAnsiTheme="minorEastAsia"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-4047490</wp:posOffset>
                </wp:positionH>
                <wp:positionV relativeFrom="paragraph">
                  <wp:posOffset>152400</wp:posOffset>
                </wp:positionV>
                <wp:extent cx="1314450" cy="333375"/>
                <wp:effectExtent l="4445" t="4445" r="14605" b="5080"/>
                <wp:wrapNone/>
                <wp:docPr id="28" name="文本框 28"/>
                <wp:cNvGraphicFramePr/>
                <a:graphic xmlns:a="http://schemas.openxmlformats.org/drawingml/2006/main">
                  <a:graphicData uri="http://schemas.microsoft.com/office/word/2010/wordprocessingShape">
                    <wps:wsp>
                      <wps:cNvSpPr txBox="1"/>
                      <wps:spPr>
                        <a:xfrm>
                          <a:off x="0" y="0"/>
                          <a:ext cx="131445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工学结合中的学生</w:t>
                            </w:r>
                          </w:p>
                        </w:txbxContent>
                      </wps:txbx>
                      <wps:bodyPr upright="1"/>
                    </wps:wsp>
                  </a:graphicData>
                </a:graphic>
              </wp:anchor>
            </w:drawing>
          </mc:Choice>
          <mc:Fallback>
            <w:pict>
              <v:shape id="_x0000_s1026" o:spid="_x0000_s1026" o:spt="202" type="#_x0000_t202" style="position:absolute;left:0pt;margin-left:-318.7pt;margin-top:12pt;height:26.25pt;width:103.5pt;z-index:251664384;mso-width-relative:page;mso-height-relative:page;" fillcolor="#FFFFFF" filled="t" stroked="t" coordsize="21600,21600" o:gfxdata="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wcDKj2gAAAAsBAAAPAAAAAAAAAAEAIAAAACIAAABkcnMvZG93bnJldi54bWxQ&#10;SwECFAAUAAAACACHTuJAbRXBXvUBAAD4AwAADgAAAAAAAAABACAAAAApAQAAZHJzL2Uyb0RvYy54&#10;bWxQSwUGAAAAAAYABgBZAQAAkAUAAAAA&#10;">
                <v:fill on="t" focussize="0,0"/>
                <v:stroke color="#000000" joinstyle="miter"/>
                <v:imagedata o:title=""/>
                <o:lock v:ext="edit" aspectratio="f"/>
                <v:textbox>
                  <w:txbxContent>
                    <w:p>
                      <w:r>
                        <w:rPr>
                          <w:rFonts w:hint="eastAsia"/>
                        </w:rPr>
                        <w:t>工学结合中的学生</w:t>
                      </w:r>
                    </w:p>
                  </w:txbxContent>
                </v:textbox>
              </v:shape>
            </w:pict>
          </mc:Fallback>
        </mc:AlternateContent>
      </w:r>
    </w:p>
    <w:p>
      <w:pPr>
        <w:spacing w:before="156" w:beforeLines="50" w:line="360" w:lineRule="auto"/>
        <w:ind w:firstLine="480" w:firstLineChars="200"/>
        <w:rPr>
          <w:rFonts w:cs="黑体" w:asciiTheme="minorEastAsia" w:hAnsiTheme="minorEastAsia" w:eastAsiaTheme="minorEastAsia"/>
          <w:sz w:val="24"/>
          <w:szCs w:val="24"/>
        </w:rPr>
      </w:pPr>
      <w:r>
        <w:rPr>
          <w:rFonts w:hint="eastAsia" w:cs="仿宋_GB2312" w:asciiTheme="minorEastAsia" w:hAnsiTheme="minorEastAsia" w:eastAsiaTheme="minorEastAsia"/>
          <w:sz w:val="24"/>
          <w:szCs w:val="24"/>
        </w:rPr>
        <w:t>二、</w:t>
      </w:r>
      <w:r>
        <w:rPr>
          <w:rFonts w:hint="eastAsia" w:cs="黑体" w:asciiTheme="minorEastAsia" w:hAnsiTheme="minorEastAsia" w:eastAsiaTheme="minorEastAsia"/>
          <w:sz w:val="24"/>
          <w:szCs w:val="24"/>
        </w:rPr>
        <w:t>党建引领地方经济服务</w:t>
      </w:r>
    </w:p>
    <w:p>
      <w:pPr>
        <w:spacing w:before="156" w:beforeLines="50" w:line="360" w:lineRule="auto"/>
        <w:ind w:firstLine="480" w:firstLineChars="20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1、养殖专业教师服务地方经济</w:t>
      </w:r>
    </w:p>
    <w:p>
      <w:pPr>
        <w:spacing w:before="156" w:beforeLines="50" w:line="360" w:lineRule="auto"/>
        <w:ind w:firstLine="480" w:firstLineChars="20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我校养殖专业一直立足农村、服务农村，为资中农村畜牧业发展做出了积极贡献。李必刚同志常年奔波在资中的农村，为群众排忧解难，被誉为家禽保护神，刘坤云同志利用养殖技术，对资中多多食品厂提供技术支持，解决了公司发展中的各种问题，使职业教育服务地方经济得以展现。</w:t>
      </w:r>
    </w:p>
    <w:p>
      <w:pPr>
        <w:spacing w:before="156" w:beforeLines="50" w:line="360" w:lineRule="auto"/>
        <w:ind w:firstLine="600" w:firstLineChars="25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2、农民夜校助脱贫</w:t>
      </w:r>
    </w:p>
    <w:p>
      <w:pPr>
        <w:spacing w:before="156" w:beforeLines="50" w:line="360" w:lineRule="auto"/>
        <w:ind w:firstLine="600" w:firstLineChars="25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在党中央全面脱贫的号角声中，资中县政府创办了农民夜校，助力资中农村脱贫攻坚。学校党支部选派李必刚、刘坤云、陈洁三名党员同志参与农民夜校教学，为新农村建设献计献策，为农民朋友带去了致富新技术、发展新思路。</w:t>
      </w:r>
    </w:p>
    <w:p>
      <w:pPr>
        <w:spacing w:before="156" w:beforeLines="50" w:line="360" w:lineRule="auto"/>
        <w:ind w:firstLine="600" w:firstLineChars="25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3、驻村干部树形象</w:t>
      </w:r>
    </w:p>
    <w:p>
      <w:pPr>
        <w:spacing w:before="156" w:beforeLines="50" w:line="360" w:lineRule="auto"/>
        <w:ind w:firstLine="600" w:firstLineChars="250"/>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根据上级党委要求，我校选派优秀党员干部赴资中县三个乡镇农村开展驻村工作。他们深入群众，调查了解情况，积极为村社领导出谋划策，处理脱贫攻坚活动中的各种材料数据，寻找项目，联系资金，进行技术扶贫、思想扶贫、经济扶贫，推动我县农村工作的开展。</w:t>
      </w:r>
    </w:p>
    <w:p>
      <w:pPr>
        <w:spacing w:before="156" w:beforeLines="50" w:line="360" w:lineRule="auto"/>
        <w:jc w:val="center"/>
        <w:rPr>
          <w:rFonts w:ascii="仿宋_GB2312" w:hAnsi="仿宋_GB2312" w:eastAsia="仿宋_GB2312" w:cs="仿宋_GB2312"/>
          <w:color w:val="000000"/>
          <w:sz w:val="24"/>
        </w:rPr>
      </w:pPr>
      <w:r>
        <w:rPr>
          <w:rFonts w:hint="eastAsia" w:ascii="仿宋_GB2312" w:hAnsi="仿宋_GB2312" w:eastAsia="仿宋_GB2312" w:cs="仿宋_GB2312"/>
          <w:sz w:val="24"/>
        </w:rPr>
        <w:drawing>
          <wp:inline distT="0" distB="0" distL="0" distR="0">
            <wp:extent cx="2517140" cy="2248535"/>
            <wp:effectExtent l="0" t="0" r="0" b="0"/>
            <wp:docPr id="13" name="图片 6" descr="C:\Users\Administrator\Desktop\党建创品牌图片\mmexport153075756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Desktop\党建创品牌图片\mmexport15307575688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17140" cy="2248535"/>
                    </a:xfrm>
                    <a:prstGeom prst="rect">
                      <a:avLst/>
                    </a:prstGeom>
                    <a:noFill/>
                    <a:ln w="9525">
                      <a:noFill/>
                      <a:miter lim="800000"/>
                      <a:headEnd/>
                      <a:tailEnd/>
                    </a:ln>
                  </pic:spPr>
                </pic:pic>
              </a:graphicData>
            </a:graphic>
          </wp:inline>
        </w:drawing>
      </w:r>
      <w:r>
        <w:rPr>
          <w:rFonts w:hint="eastAsia" w:ascii="仿宋_GB2312" w:hAnsi="仿宋_GB2312" w:eastAsia="仿宋_GB2312" w:cs="仿宋_GB2312"/>
          <w:color w:val="000000"/>
          <w:sz w:val="24"/>
        </w:rPr>
        <w:t xml:space="preserve">  </w:t>
      </w:r>
      <w:r>
        <w:rPr>
          <w:rFonts w:hint="eastAsia" w:ascii="黑体" w:hAnsi="黑体" w:eastAsia="黑体" w:cs="黑体"/>
          <w:sz w:val="24"/>
        </w:rPr>
        <w:drawing>
          <wp:inline distT="0" distB="0" distL="0" distR="0">
            <wp:extent cx="2333625" cy="2228850"/>
            <wp:effectExtent l="0" t="0" r="9525" b="0"/>
            <wp:docPr id="25" name="图片 2" descr="C:\Users\Administrator\Desktop\党建创品牌图片\mmexport151183533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C:\Users\Administrator\Desktop\党建创品牌图片\mmexport15118353333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4290" cy="2229485"/>
                    </a:xfrm>
                    <a:prstGeom prst="rect">
                      <a:avLst/>
                    </a:prstGeom>
                    <a:noFill/>
                    <a:ln w="9525">
                      <a:noFill/>
                      <a:miter lim="800000"/>
                      <a:headEnd/>
                      <a:tailEnd/>
                    </a:ln>
                  </pic:spPr>
                </pic:pic>
              </a:graphicData>
            </a:graphic>
          </wp:inline>
        </w:drawing>
      </w:r>
    </w:p>
    <w:p>
      <w:pPr>
        <w:jc w:val="center"/>
        <w:rPr>
          <w:rFonts w:hint="eastAsia" w:cs="仿宋_GB2312" w:asciiTheme="minorEastAsia" w:hAnsiTheme="minorEastAsia"/>
          <w:color w:val="000000"/>
          <w:sz w:val="24"/>
        </w:rPr>
      </w:pPr>
      <w:r>
        <w:rPr>
          <w:rFonts w:hint="eastAsia"/>
        </w:rPr>
        <w:drawing>
          <wp:inline distT="0" distB="0" distL="0" distR="0">
            <wp:extent cx="2667000" cy="2037080"/>
            <wp:effectExtent l="0" t="0" r="0" b="1270"/>
            <wp:docPr id="44" name="图片 44" descr="0dfb5e3bf42d55ef8e5434ad864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dfb5e3bf42d55ef8e5434ad8645868"/>
                    <pic:cNvPicPr>
                      <a:picLocks noChangeAspect="1"/>
                    </pic:cNvPicPr>
                  </pic:nvPicPr>
                  <pic:blipFill>
                    <a:blip r:embed="rId20">
                      <a:extLst>
                        <a:ext uri="{28A0092B-C50C-407E-A947-70E740481C1C}">
                          <a14:useLocalDpi xmlns:a14="http://schemas.microsoft.com/office/drawing/2010/main" val="0"/>
                        </a:ext>
                      </a:extLst>
                    </a:blip>
                    <a:srcRect l="724" t="-1678" r="9412" b="1678"/>
                    <a:stretch>
                      <a:fillRect/>
                    </a:stretch>
                  </pic:blipFill>
                  <pic:spPr>
                    <a:xfrm rot="10800000">
                      <a:off x="0" y="0"/>
                      <a:ext cx="2662809" cy="2033905"/>
                    </a:xfrm>
                    <a:prstGeom prst="rect">
                      <a:avLst/>
                    </a:prstGeom>
                  </pic:spPr>
                </pic:pic>
              </a:graphicData>
            </a:graphic>
          </wp:inline>
        </w:drawing>
      </w:r>
      <w:r>
        <w:rPr>
          <w:rFonts w:hint="eastAsia" w:cs="仿宋_GB2312" w:asciiTheme="minorEastAsia" w:hAnsiTheme="minorEastAsia"/>
          <w:color w:val="000000"/>
          <w:sz w:val="24"/>
        </w:rPr>
        <w:t xml:space="preserve">  </w:t>
      </w:r>
      <w:r>
        <w:rPr>
          <w:rFonts w:ascii="黑体" w:hAnsi="黑体" w:eastAsia="黑体" w:cs="黑体"/>
          <w:sz w:val="24"/>
        </w:rPr>
        <w:drawing>
          <wp:inline distT="0" distB="0" distL="0" distR="0">
            <wp:extent cx="2342515" cy="1993900"/>
            <wp:effectExtent l="0" t="0" r="635" b="6350"/>
            <wp:docPr id="16" name="图片 15" descr="mmexport154330824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mmexport1543308243257.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2515" cy="1993900"/>
                    </a:xfrm>
                    <a:prstGeom prst="rect">
                      <a:avLst/>
                    </a:prstGeom>
                  </pic:spPr>
                </pic:pic>
              </a:graphicData>
            </a:graphic>
          </wp:inline>
        </w:drawing>
      </w:r>
    </w:p>
    <w:p>
      <w:pPr>
        <w:jc w:val="center"/>
        <w:rPr>
          <w:rFonts w:cs="仿宋_GB2312" w:asciiTheme="minorEastAsia" w:hAnsiTheme="minorEastAsia"/>
          <w:color w:val="000000"/>
          <w:szCs w:val="21"/>
        </w:rPr>
      </w:pPr>
      <w:r>
        <w:rPr>
          <w:rFonts w:hint="eastAsia" w:cs="仿宋_GB2312" w:asciiTheme="minorEastAsia" w:hAnsiTheme="minorEastAsia"/>
          <w:color w:val="000000"/>
          <w:szCs w:val="21"/>
        </w:rPr>
        <w:t>图3-5  党建图片</w:t>
      </w:r>
    </w:p>
    <w:p>
      <w:pPr>
        <w:pStyle w:val="2"/>
        <w:spacing w:before="312" w:beforeLines="100" w:after="0"/>
        <w:rPr>
          <w:rFonts w:ascii="黑体" w:hAnsi="黑体" w:eastAsia="黑体"/>
          <w:sz w:val="30"/>
          <w:szCs w:val="30"/>
        </w:rPr>
      </w:pPr>
      <w:bookmarkStart w:id="37" w:name="_Toc29894706"/>
      <w:r>
        <w:rPr>
          <w:rFonts w:hint="eastAsia" w:ascii="黑体" w:hAnsi="黑体" w:eastAsia="黑体"/>
          <w:sz w:val="30"/>
          <w:szCs w:val="30"/>
        </w:rPr>
        <w:t>四、校企合作</w:t>
      </w:r>
      <w:bookmarkEnd w:id="36"/>
      <w:bookmarkEnd w:id="37"/>
    </w:p>
    <w:p>
      <w:pPr>
        <w:pStyle w:val="3"/>
        <w:spacing w:before="156" w:beforeLines="50" w:after="0"/>
        <w:rPr>
          <w:rFonts w:ascii="黑体" w:hAnsi="黑体" w:eastAsia="黑体"/>
          <w:sz w:val="28"/>
          <w:szCs w:val="28"/>
        </w:rPr>
      </w:pPr>
      <w:bookmarkStart w:id="38" w:name="_Toc29894707"/>
      <w:r>
        <w:rPr>
          <w:rFonts w:hint="eastAsia" w:ascii="黑体" w:hAnsi="黑体" w:eastAsia="黑体"/>
          <w:sz w:val="28"/>
          <w:szCs w:val="28"/>
        </w:rPr>
        <w:t>（一）校企合作开展情况</w:t>
      </w:r>
      <w:bookmarkEnd w:id="38"/>
    </w:p>
    <w:p>
      <w:pPr>
        <w:spacing w:before="156" w:beforeLines="50" w:line="360" w:lineRule="auto"/>
        <w:ind w:firstLine="562" w:firstLineChars="200"/>
        <w:rPr>
          <w:b/>
          <w:sz w:val="28"/>
          <w:szCs w:val="28"/>
        </w:rPr>
      </w:pPr>
      <w:r>
        <w:rPr>
          <w:rFonts w:hint="eastAsia"/>
          <w:b/>
          <w:sz w:val="28"/>
          <w:szCs w:val="28"/>
        </w:rPr>
        <w:t>1.建立产教融合、校企合作长效机制</w:t>
      </w:r>
    </w:p>
    <w:p>
      <w:pPr>
        <w:spacing w:before="156" w:beforeLines="50" w:line="360" w:lineRule="auto"/>
        <w:ind w:firstLine="480" w:firstLineChars="200"/>
        <w:rPr>
          <w:sz w:val="24"/>
          <w:szCs w:val="24"/>
        </w:rPr>
      </w:pPr>
      <w:r>
        <w:rPr>
          <w:rFonts w:hint="eastAsia"/>
          <w:sz w:val="24"/>
          <w:szCs w:val="24"/>
        </w:rPr>
        <w:t>一是健全组织机构，成立了由行业专家、企业代表、政府相关部门、学校代表组成的校企合作工作领导小组。负责校企合作中企业的调研、考察、遴选；负责校企合作中管理制度的制定，明确企业和学校的职责、任务；负责校企合作中的计划、总结、保障。学校成立了校企合作办公室，具体执行校企合作的各项制度，落实校企合作的各项任务，加强实习实训的管理和服务，做好现代学徒制试点工作的相关事项。</w:t>
      </w:r>
    </w:p>
    <w:p>
      <w:pPr>
        <w:spacing w:before="156" w:beforeLines="50" w:line="360" w:lineRule="auto"/>
        <w:ind w:firstLine="480" w:firstLineChars="200"/>
        <w:rPr>
          <w:sz w:val="24"/>
          <w:szCs w:val="24"/>
        </w:rPr>
      </w:pPr>
      <w:r>
        <w:rPr>
          <w:rFonts w:hint="eastAsia"/>
          <w:sz w:val="24"/>
          <w:szCs w:val="24"/>
        </w:rPr>
        <w:t>二是构建校企合作运行机制</w:t>
      </w:r>
    </w:p>
    <w:p>
      <w:pPr>
        <w:spacing w:before="156" w:beforeLines="50" w:line="360" w:lineRule="auto"/>
        <w:ind w:firstLine="480" w:firstLineChars="200"/>
        <w:rPr>
          <w:sz w:val="24"/>
          <w:szCs w:val="24"/>
        </w:rPr>
      </w:pPr>
      <w:r>
        <w:rPr>
          <w:sz w:val="24"/>
          <w:szCs w:val="24"/>
        </w:rPr>
        <w:t>为确保校企合作高效、良好运行，实现产教深度融合，做好教学内容与职业标准的对接，专业技能与生产技能对接，教学过程与生产过程对接，品德教育与职业道德对接，教师与企业技术人才的互聘对接。突破职业教育的瓶颈，完善校企合作长效机制，学校</w:t>
      </w:r>
      <w:r>
        <w:rPr>
          <w:rFonts w:hint="eastAsia"/>
          <w:sz w:val="24"/>
          <w:szCs w:val="24"/>
        </w:rPr>
        <w:t>利用示范校建设契机，</w:t>
      </w:r>
      <w:r>
        <w:rPr>
          <w:sz w:val="24"/>
          <w:szCs w:val="24"/>
        </w:rPr>
        <w:t>进一步制订并完善校企合作管理制度。</w:t>
      </w:r>
    </w:p>
    <w:p>
      <w:pPr>
        <w:spacing w:before="156" w:beforeLines="50" w:line="360" w:lineRule="auto"/>
        <w:ind w:firstLine="480" w:firstLineChars="200"/>
        <w:rPr>
          <w:sz w:val="24"/>
          <w:szCs w:val="24"/>
        </w:rPr>
      </w:pPr>
      <w:r>
        <w:rPr>
          <w:sz w:val="24"/>
          <w:szCs w:val="24"/>
        </w:rPr>
        <w:t>校企合作办公室制订《资中县职业技术学校校企合作运行方案》并组织实施，制订当年校企合作工作计划、组织实施，严格过程管理，强化督导检查，做好年终总结。实行定期例会制度，定期召开校企合作安排会、研讨会、总结会等。研究解决校企合作中出现的问题，落实解决问题的办法与措施，总结推广典型方法的经验。</w:t>
      </w:r>
    </w:p>
    <w:p>
      <w:pPr>
        <w:spacing w:before="156" w:beforeLines="50" w:line="360" w:lineRule="auto"/>
        <w:ind w:firstLine="562" w:firstLineChars="200"/>
        <w:rPr>
          <w:b/>
          <w:sz w:val="28"/>
          <w:szCs w:val="28"/>
        </w:rPr>
      </w:pPr>
      <w:r>
        <w:rPr>
          <w:rFonts w:hint="eastAsia"/>
          <w:b/>
          <w:sz w:val="28"/>
          <w:szCs w:val="28"/>
        </w:rPr>
        <w:t>2.校企合作开展情况</w:t>
      </w:r>
    </w:p>
    <w:p>
      <w:pPr>
        <w:spacing w:before="156" w:beforeLines="50" w:line="360" w:lineRule="auto"/>
        <w:ind w:firstLine="480" w:firstLineChars="200"/>
        <w:rPr>
          <w:rFonts w:hint="eastAsia"/>
          <w:sz w:val="24"/>
          <w:szCs w:val="24"/>
        </w:rPr>
      </w:pPr>
      <w:r>
        <w:rPr>
          <w:rFonts w:hint="eastAsia"/>
          <w:sz w:val="24"/>
          <w:szCs w:val="24"/>
        </w:rPr>
        <w:t>2019年，学校充分利用省示范性建设的契机，扎实推进产教融合、校企合作的建设项目，学校校企合作情况见下表：</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表4-1  校企合作情况表</w:t>
      </w:r>
    </w:p>
    <w:tbl>
      <w:tblPr>
        <w:tblStyle w:val="30"/>
        <w:tblW w:w="9229" w:type="dxa"/>
        <w:tblInd w:w="93" w:type="dxa"/>
        <w:tblLayout w:type="fixed"/>
        <w:tblCellMar>
          <w:top w:w="0" w:type="dxa"/>
          <w:left w:w="108" w:type="dxa"/>
          <w:bottom w:w="0" w:type="dxa"/>
          <w:right w:w="108" w:type="dxa"/>
        </w:tblCellMar>
      </w:tblPr>
      <w:tblGrid>
        <w:gridCol w:w="500"/>
        <w:gridCol w:w="2776"/>
        <w:gridCol w:w="1134"/>
        <w:gridCol w:w="2835"/>
        <w:gridCol w:w="1984"/>
      </w:tblGrid>
      <w:tr>
        <w:tblPrEx>
          <w:tblCellMar>
            <w:top w:w="0" w:type="dxa"/>
            <w:left w:w="108" w:type="dxa"/>
            <w:bottom w:w="0" w:type="dxa"/>
            <w:right w:w="108" w:type="dxa"/>
          </w:tblCellMar>
        </w:tblPrEx>
        <w:trPr>
          <w:trHeight w:val="720" w:hRule="atLeast"/>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序号</w:t>
            </w:r>
          </w:p>
        </w:tc>
        <w:tc>
          <w:tcPr>
            <w:tcW w:w="27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合作单位</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合作开</w:t>
            </w:r>
          </w:p>
          <w:p>
            <w:pPr>
              <w:widowControl/>
              <w:jc w:val="center"/>
              <w:rPr>
                <w:rFonts w:ascii="宋体" w:hAnsi="宋体" w:cs="宋体"/>
                <w:b/>
                <w:bCs/>
                <w:kern w:val="0"/>
                <w:sz w:val="24"/>
                <w:szCs w:val="24"/>
              </w:rPr>
            </w:pPr>
            <w:r>
              <w:rPr>
                <w:rFonts w:hint="eastAsia" w:ascii="宋体" w:hAnsi="宋体" w:cs="宋体"/>
                <w:b/>
                <w:bCs/>
                <w:kern w:val="0"/>
                <w:sz w:val="24"/>
                <w:szCs w:val="24"/>
              </w:rPr>
              <w:t>始时间</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合作专业</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实习类别</w:t>
            </w:r>
          </w:p>
        </w:tc>
      </w:tr>
      <w:tr>
        <w:tblPrEx>
          <w:tblCellMar>
            <w:top w:w="0" w:type="dxa"/>
            <w:left w:w="108" w:type="dxa"/>
            <w:bottom w:w="0" w:type="dxa"/>
            <w:right w:w="108" w:type="dxa"/>
          </w:tblCellMar>
        </w:tblPrEx>
        <w:trPr>
          <w:trHeight w:val="956" w:hRule="atLeast"/>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2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无锡电子仪表工业有限公司</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2010</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计算机平面设计、电子电器应用与维修、电子技术应用</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工学实习、顶岗实习、现代学徒制</w:t>
            </w:r>
          </w:p>
        </w:tc>
      </w:tr>
      <w:tr>
        <w:tblPrEx>
          <w:tblCellMar>
            <w:top w:w="0" w:type="dxa"/>
            <w:left w:w="108" w:type="dxa"/>
            <w:bottom w:w="0" w:type="dxa"/>
            <w:right w:w="108" w:type="dxa"/>
          </w:tblCellMar>
        </w:tblPrEx>
        <w:trPr>
          <w:trHeight w:val="720" w:hRule="atLeast"/>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w:t>
            </w:r>
          </w:p>
        </w:tc>
        <w:tc>
          <w:tcPr>
            <w:tcW w:w="2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中航国铁教育投资有限公司</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2016</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航空服务</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顶岗实习</w:t>
            </w:r>
          </w:p>
        </w:tc>
      </w:tr>
      <w:tr>
        <w:tblPrEx>
          <w:tblCellMar>
            <w:top w:w="0" w:type="dxa"/>
            <w:left w:w="108" w:type="dxa"/>
            <w:bottom w:w="0" w:type="dxa"/>
            <w:right w:w="108" w:type="dxa"/>
          </w:tblCellMar>
        </w:tblPrEx>
        <w:trPr>
          <w:trHeight w:val="720" w:hRule="atLeast"/>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2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上海大众联晟宁波分厂</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2017</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汽车运用与维修、机械加工技术</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顶岗实习</w:t>
            </w:r>
          </w:p>
        </w:tc>
      </w:tr>
      <w:tr>
        <w:tblPrEx>
          <w:tblCellMar>
            <w:top w:w="0" w:type="dxa"/>
            <w:left w:w="108" w:type="dxa"/>
            <w:bottom w:w="0" w:type="dxa"/>
            <w:right w:w="108" w:type="dxa"/>
          </w:tblCellMar>
        </w:tblPrEx>
        <w:trPr>
          <w:trHeight w:val="570" w:hRule="atLeast"/>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4</w:t>
            </w:r>
          </w:p>
        </w:tc>
        <w:tc>
          <w:tcPr>
            <w:tcW w:w="2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资中县中小学服装厂</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2010</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服装设计与加工</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顶岗实习</w:t>
            </w:r>
          </w:p>
        </w:tc>
      </w:tr>
      <w:tr>
        <w:tblPrEx>
          <w:tblCellMar>
            <w:top w:w="0" w:type="dxa"/>
            <w:left w:w="108" w:type="dxa"/>
            <w:bottom w:w="0" w:type="dxa"/>
            <w:right w:w="108" w:type="dxa"/>
          </w:tblCellMar>
        </w:tblPrEx>
        <w:trPr>
          <w:trHeight w:val="855" w:hRule="atLeast"/>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5</w:t>
            </w:r>
          </w:p>
        </w:tc>
        <w:tc>
          <w:tcPr>
            <w:tcW w:w="2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比亚迪第17事业部（发动机）</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2017</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汽车运用与维修、机械加工技术</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工学结合</w:t>
            </w:r>
          </w:p>
          <w:p>
            <w:pPr>
              <w:widowControl/>
              <w:jc w:val="center"/>
              <w:rPr>
                <w:rFonts w:ascii="宋体" w:hAnsi="宋体" w:cs="宋体"/>
                <w:kern w:val="0"/>
                <w:szCs w:val="21"/>
              </w:rPr>
            </w:pPr>
            <w:r>
              <w:rPr>
                <w:rFonts w:hint="eastAsia" w:ascii="宋体" w:hAnsi="宋体" w:cs="宋体"/>
                <w:kern w:val="0"/>
                <w:szCs w:val="21"/>
              </w:rPr>
              <w:t>顶岗实习</w:t>
            </w:r>
          </w:p>
        </w:tc>
      </w:tr>
      <w:tr>
        <w:tblPrEx>
          <w:tblCellMar>
            <w:top w:w="0" w:type="dxa"/>
            <w:left w:w="108" w:type="dxa"/>
            <w:bottom w:w="0" w:type="dxa"/>
            <w:right w:w="108" w:type="dxa"/>
          </w:tblCellMar>
        </w:tblPrEx>
        <w:trPr>
          <w:trHeight w:val="908" w:hRule="atLeast"/>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6</w:t>
            </w:r>
          </w:p>
        </w:tc>
        <w:tc>
          <w:tcPr>
            <w:tcW w:w="27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四川魔力风暴科技有限公司</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2019</w:t>
            </w:r>
          </w:p>
        </w:tc>
        <w:tc>
          <w:tcPr>
            <w:tcW w:w="28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计算机平面设计、动漫设计与游戏制作</w:t>
            </w: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现代学徒制</w:t>
            </w:r>
          </w:p>
        </w:tc>
      </w:tr>
      <w:tr>
        <w:tblPrEx>
          <w:tblCellMar>
            <w:top w:w="0" w:type="dxa"/>
            <w:left w:w="108" w:type="dxa"/>
            <w:bottom w:w="0" w:type="dxa"/>
            <w:right w:w="108" w:type="dxa"/>
          </w:tblCellMar>
        </w:tblPrEx>
        <w:trPr>
          <w:trHeight w:val="720" w:hRule="atLeast"/>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7</w:t>
            </w:r>
          </w:p>
        </w:tc>
        <w:tc>
          <w:tcPr>
            <w:tcW w:w="2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安徽中厨教育投资有限公司</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2019</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中餐烹饪与营养膳食</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现代学徒制</w:t>
            </w:r>
          </w:p>
        </w:tc>
      </w:tr>
      <w:tr>
        <w:tblPrEx>
          <w:tblCellMar>
            <w:top w:w="0" w:type="dxa"/>
            <w:left w:w="108" w:type="dxa"/>
            <w:bottom w:w="0" w:type="dxa"/>
            <w:right w:w="108" w:type="dxa"/>
          </w:tblCellMar>
        </w:tblPrEx>
        <w:trPr>
          <w:trHeight w:val="1243" w:hRule="atLeast"/>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8</w:t>
            </w:r>
          </w:p>
        </w:tc>
        <w:tc>
          <w:tcPr>
            <w:tcW w:w="2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四川鸿昶海龙教育科技有限公司成都汽车维修联盟产教融合中心</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2019</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汽车运用与维修</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现代学徒制</w:t>
            </w:r>
          </w:p>
        </w:tc>
      </w:tr>
      <w:tr>
        <w:tblPrEx>
          <w:tblCellMar>
            <w:top w:w="0" w:type="dxa"/>
            <w:left w:w="108" w:type="dxa"/>
            <w:bottom w:w="0" w:type="dxa"/>
            <w:right w:w="108" w:type="dxa"/>
          </w:tblCellMar>
        </w:tblPrEx>
        <w:trPr>
          <w:trHeight w:val="855" w:hRule="atLeast"/>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9</w:t>
            </w:r>
          </w:p>
        </w:tc>
        <w:tc>
          <w:tcPr>
            <w:tcW w:w="2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深圳风向标教育资源股份有限公司</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2019</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汽车运用与维修</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顶岗实习</w:t>
            </w:r>
          </w:p>
        </w:tc>
      </w:tr>
    </w:tbl>
    <w:p>
      <w:pPr>
        <w:widowControl/>
        <w:jc w:val="left"/>
        <w:rPr>
          <w:rFonts w:ascii="方正小标宋简体" w:hAnsi="方正小标宋简体" w:eastAsia="方正小标宋简体" w:cs="方正小标宋简体"/>
          <w:bCs/>
          <w:i/>
          <w:color w:val="000000"/>
          <w:kern w:val="0"/>
          <w:sz w:val="28"/>
          <w:szCs w:val="28"/>
        </w:rPr>
      </w:pPr>
      <w:r>
        <w:rPr>
          <w:rFonts w:hint="eastAsia" w:ascii="方正小标宋简体" w:hAnsi="方正小标宋简体" w:eastAsia="方正小标宋简体" w:cs="方正小标宋简体"/>
          <w:bCs/>
          <w:i/>
          <w:color w:val="000000"/>
          <w:kern w:val="0"/>
          <w:sz w:val="28"/>
          <w:szCs w:val="28"/>
        </w:rPr>
        <w:t>【案例】</w:t>
      </w:r>
    </w:p>
    <w:p>
      <w:pPr>
        <w:spacing w:line="360" w:lineRule="auto"/>
        <w:ind w:firstLine="560" w:firstLineChars="200"/>
        <w:jc w:val="center"/>
        <w:rPr>
          <w:rFonts w:hint="eastAsia" w:ascii="仿宋_GB2312" w:hAnsi="宋体" w:eastAsia="仿宋_GB2312" w:cs="仿宋_GB2312"/>
          <w:color w:val="000000"/>
          <w:kern w:val="0"/>
          <w:sz w:val="28"/>
          <w:szCs w:val="28"/>
        </w:rPr>
      </w:pPr>
      <w:r>
        <w:rPr>
          <w:rFonts w:hint="eastAsia" w:ascii="仿宋_GB2312" w:hAnsi="宋体" w:eastAsia="仿宋_GB2312"/>
          <w:sz w:val="28"/>
          <w:szCs w:val="28"/>
        </w:rPr>
        <w:t>资中职校狠抓校企合作，探索人才培养模式改革</w:t>
      </w:r>
    </w:p>
    <w:p>
      <w:pPr>
        <w:spacing w:line="360" w:lineRule="auto"/>
        <w:ind w:firstLine="480" w:firstLineChars="200"/>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2019年，资中职业技术学校以示范校建设为契机，进一步加强校企合作的工作力度，在与无锡电仪、夏普集团深度合作的基础之上，今年新增深度校企合作企业4家：四川魔力风暴科技有限公司、安徽中厨教育投资有限公司、深圳风向标教育资源股份有限公司、四川鸿昶海龙教育科技有限公司成都汽车维修联盟。</w:t>
      </w:r>
    </w:p>
    <w:p>
      <w:pPr>
        <w:pStyle w:val="27"/>
        <w:spacing w:before="0" w:beforeAutospacing="0" w:after="0" w:afterAutospacing="0" w:line="360" w:lineRule="auto"/>
        <w:ind w:firstLine="480" w:firstLineChars="200"/>
        <w:rPr>
          <w:rFonts w:hint="eastAsia" w:ascii="仿宋_GB2312" w:eastAsia="仿宋_GB2312" w:cs="仿宋_GB2312"/>
          <w:color w:val="000000"/>
        </w:rPr>
      </w:pPr>
      <w:r>
        <w:rPr>
          <w:rFonts w:hint="eastAsia" w:ascii="仿宋_GB2312" w:eastAsia="仿宋_GB2312" w:cs="仿宋_GB2312"/>
          <w:color w:val="000000"/>
        </w:rPr>
        <w:t>计算机平面设计专业与四川魔力风暴科技有限公司联合开办订单班，实践“2+2”现代学徒制育人模式，即：实行每月2周文化课和专业基础课学校负责，2周专业核心课企业负责的育人模式；中餐烹饪与营养膳食专业与安徽中厨教育投资有限公司合作办学，推行“0.5+0.5”的现代学徒制育人模式，即：半天文化基础课，半天专业课企业负责的现代学徒制育人模式；汽车运用与维修专业与深圳风向标教育资源股份有限公司、四川鸿昶海龙教育科技有限公司成都汽车维修联盟产教融合中心共同建设实训基地，深化项目关制教学改革，校企合作践行“专业课智慧教学”模式。</w:t>
      </w:r>
    </w:p>
    <w:p>
      <w:pPr>
        <w:jc w:val="center"/>
        <w:rPr>
          <w:rFonts w:hint="eastAsia"/>
          <w:sz w:val="28"/>
        </w:rPr>
      </w:pPr>
      <w:r>
        <w:rPr>
          <w:rFonts w:hint="eastAsia"/>
          <w:sz w:val="28"/>
        </w:rPr>
        <w:drawing>
          <wp:inline distT="0" distB="0" distL="114300" distR="114300">
            <wp:extent cx="2581275" cy="1936115"/>
            <wp:effectExtent l="0" t="0" r="9525" b="6985"/>
            <wp:docPr id="47" name="图片 47" descr="279ef71e762c429ebe13171ea17d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79ef71e762c429ebe13171ea17d571"/>
                    <pic:cNvPicPr>
                      <a:picLocks noChangeAspect="1"/>
                    </pic:cNvPicPr>
                  </pic:nvPicPr>
                  <pic:blipFill>
                    <a:blip r:embed="rId22"/>
                    <a:stretch>
                      <a:fillRect/>
                    </a:stretch>
                  </pic:blipFill>
                  <pic:spPr>
                    <a:xfrm>
                      <a:off x="0" y="0"/>
                      <a:ext cx="2581275" cy="1936115"/>
                    </a:xfrm>
                    <a:prstGeom prst="rect">
                      <a:avLst/>
                    </a:prstGeom>
                  </pic:spPr>
                </pic:pic>
              </a:graphicData>
            </a:graphic>
          </wp:inline>
        </w:drawing>
      </w:r>
      <w:r>
        <w:rPr>
          <w:rFonts w:hint="eastAsia"/>
          <w:sz w:val="28"/>
        </w:rPr>
        <w:t xml:space="preserve"> </w:t>
      </w:r>
      <w:r>
        <w:rPr>
          <w:rFonts w:hint="eastAsia"/>
          <w:sz w:val="28"/>
        </w:rPr>
        <w:drawing>
          <wp:inline distT="0" distB="0" distL="114300" distR="114300">
            <wp:extent cx="2550160" cy="1913255"/>
            <wp:effectExtent l="0" t="0" r="2540" b="0"/>
            <wp:docPr id="48" name="图片 48" descr="b6bd818e1c0b5809995990920fd9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b6bd818e1c0b5809995990920fd91a8"/>
                    <pic:cNvPicPr>
                      <a:picLocks noChangeAspect="1"/>
                    </pic:cNvPicPr>
                  </pic:nvPicPr>
                  <pic:blipFill>
                    <a:blip r:embed="rId23"/>
                    <a:stretch>
                      <a:fillRect/>
                    </a:stretch>
                  </pic:blipFill>
                  <pic:spPr>
                    <a:xfrm>
                      <a:off x="0" y="0"/>
                      <a:ext cx="2550160" cy="1913255"/>
                    </a:xfrm>
                    <a:prstGeom prst="rect">
                      <a:avLst/>
                    </a:prstGeom>
                  </pic:spPr>
                </pic:pic>
              </a:graphicData>
            </a:graphic>
          </wp:inline>
        </w:drawing>
      </w:r>
    </w:p>
    <w:p>
      <w:pPr>
        <w:jc w:val="center"/>
        <w:rPr>
          <w:rFonts w:asciiTheme="minorEastAsia" w:hAnsiTheme="minorEastAsia" w:eastAsiaTheme="minorEastAsia"/>
          <w:szCs w:val="21"/>
        </w:rPr>
      </w:pPr>
      <w:r>
        <w:rPr>
          <w:rFonts w:hint="eastAsia" w:asciiTheme="minorEastAsia" w:hAnsiTheme="minorEastAsia" w:eastAsiaTheme="minorEastAsia"/>
          <w:szCs w:val="21"/>
        </w:rPr>
        <w:t>图4-1  校企合作签约仪式</w:t>
      </w:r>
    </w:p>
    <w:p>
      <w:pPr>
        <w:pStyle w:val="3"/>
        <w:spacing w:before="156" w:beforeLines="50" w:after="0"/>
        <w:rPr>
          <w:rFonts w:ascii="黑体" w:hAnsi="黑体" w:eastAsia="黑体"/>
          <w:sz w:val="28"/>
          <w:szCs w:val="28"/>
        </w:rPr>
      </w:pPr>
      <w:bookmarkStart w:id="39" w:name="_Toc29894708"/>
      <w:bookmarkStart w:id="40" w:name="_Toc501482421"/>
      <w:r>
        <w:rPr>
          <w:rFonts w:hint="eastAsia" w:ascii="黑体" w:hAnsi="黑体" w:eastAsia="黑体"/>
          <w:sz w:val="28"/>
          <w:szCs w:val="28"/>
        </w:rPr>
        <w:t>（二）学生实习情况</w:t>
      </w:r>
      <w:bookmarkEnd w:id="39"/>
      <w:bookmarkEnd w:id="40"/>
    </w:p>
    <w:p>
      <w:pPr>
        <w:spacing w:before="156" w:beforeLines="50" w:line="360" w:lineRule="auto"/>
        <w:ind w:firstLine="480" w:firstLineChars="200"/>
        <w:rPr>
          <w:sz w:val="24"/>
          <w:szCs w:val="24"/>
        </w:rPr>
      </w:pPr>
      <w:bookmarkStart w:id="41" w:name="_Toc501482422"/>
      <w:r>
        <w:rPr>
          <w:rFonts w:hint="eastAsia"/>
          <w:sz w:val="24"/>
          <w:szCs w:val="24"/>
        </w:rPr>
        <w:t>建立健全管理制度，确保实习管理有章可依。学校严格以国家教育部《中等职业学校学生实习管理办法》及《中等职业学校学生顶岗实习管理规定》为依据制定《资中县职业技术学校学生顶岗实习管理制度》、《资中县职业技术学校实习安全管理规定》，就实习的报备、实习的筹备、实习的过程管理、实习的责任风险管理、实习的考核等作出了明确的规定，为推进和改进学校学生顶岗实习工作提供依据。</w:t>
      </w:r>
    </w:p>
    <w:p>
      <w:pPr>
        <w:spacing w:before="156" w:beforeLines="50" w:line="360" w:lineRule="auto"/>
        <w:ind w:firstLine="480" w:firstLineChars="200"/>
        <w:rPr>
          <w:sz w:val="24"/>
          <w:szCs w:val="24"/>
        </w:rPr>
      </w:pPr>
      <w:r>
        <w:rPr>
          <w:rFonts w:hint="eastAsia"/>
          <w:sz w:val="24"/>
          <w:szCs w:val="24"/>
        </w:rPr>
        <w:t>设立实习管理机构，依法依规实施环节管理。学校成立以校长为组长，以班子成员为副组长，以招生就业处负责人、驻厂管理老师及班主任为成员的实习工作领导小组，学校领导小组坚持以服务为宗旨、以就业为导向、按照学以致用、专业对口的原则统筹安排，明确责任，齐抓共管。</w:t>
      </w:r>
    </w:p>
    <w:p>
      <w:pPr>
        <w:spacing w:before="156" w:beforeLines="50" w:line="360" w:lineRule="auto"/>
        <w:ind w:firstLine="480" w:firstLineChars="200"/>
        <w:rPr>
          <w:sz w:val="24"/>
          <w:szCs w:val="24"/>
        </w:rPr>
      </w:pPr>
      <w:r>
        <w:rPr>
          <w:rFonts w:hint="eastAsia"/>
          <w:sz w:val="24"/>
          <w:szCs w:val="24"/>
        </w:rPr>
        <w:t>第一，根据《职业学校学生实习管理》的规定中第二章第五条的要求，严格考察接收顶岗实习学生的企业。学校采用“走出去、请进来”的办法，对意向企业的法人资格，经营管理，生产环境，服务质量，学生权益进行针对性考察，并形成考察报告。</w:t>
      </w:r>
    </w:p>
    <w:p>
      <w:pPr>
        <w:spacing w:before="156" w:beforeLines="50" w:line="360" w:lineRule="auto"/>
        <w:ind w:firstLine="480" w:firstLineChars="200"/>
        <w:rPr>
          <w:sz w:val="24"/>
          <w:szCs w:val="24"/>
        </w:rPr>
      </w:pPr>
      <w:r>
        <w:rPr>
          <w:rFonts w:hint="eastAsia"/>
          <w:sz w:val="24"/>
          <w:szCs w:val="24"/>
        </w:rPr>
        <w:t>第二，实习过程中，学校会同企业建立健全实习安全管理规定，由学校驻厂管理教师全天候监督执行，负责对学生上下班纪律，工作状况，安全操作规程等方面的管理并建立管理台账，同时负责与学生、家长、企业的沟通，负责对学生工资卡的集中统一透明化管理，以实现实习管理的有效性及学家长期望、学生权益的落实。</w:t>
      </w:r>
    </w:p>
    <w:p>
      <w:pPr>
        <w:spacing w:before="156" w:beforeLines="50" w:line="360" w:lineRule="auto"/>
        <w:ind w:firstLine="480" w:firstLineChars="200"/>
        <w:rPr>
          <w:sz w:val="28"/>
        </w:rPr>
      </w:pPr>
      <w:r>
        <w:rPr>
          <w:rFonts w:hint="eastAsia"/>
          <w:sz w:val="24"/>
          <w:szCs w:val="24"/>
        </w:rPr>
        <w:t>第三，建立就业处及班主任的回访管理制度，不定期的了解学生的实习情况，不定期的与学生进行心理辅导及处理突发事件。</w:t>
      </w:r>
    </w:p>
    <w:p>
      <w:pPr>
        <w:spacing w:before="156" w:beforeLines="50" w:line="360" w:lineRule="auto"/>
        <w:ind w:firstLine="480" w:firstLineChars="200"/>
        <w:rPr>
          <w:sz w:val="24"/>
          <w:szCs w:val="24"/>
        </w:rPr>
      </w:pPr>
      <w:r>
        <w:rPr>
          <w:rFonts w:hint="eastAsia"/>
          <w:sz w:val="24"/>
          <w:szCs w:val="24"/>
        </w:rPr>
        <w:t>第四，招生就业处根据指导老师的管理台账、学生的实习总结、企业的实习鉴定等方面综合评定学生实习成绩。</w:t>
      </w:r>
    </w:p>
    <w:p>
      <w:pPr>
        <w:spacing w:before="156" w:beforeLines="50" w:line="360" w:lineRule="auto"/>
        <w:ind w:firstLine="480" w:firstLineChars="200"/>
        <w:rPr>
          <w:sz w:val="28"/>
        </w:rPr>
      </w:pPr>
      <w:r>
        <w:rPr>
          <w:rFonts w:hint="eastAsia"/>
          <w:sz w:val="24"/>
          <w:szCs w:val="24"/>
        </w:rPr>
        <w:t>通过各责任人各司其职、各负其责，学校的顶岗实习工作扎实有序的实施，确保学生的实习工作的有效性，学生顶岗实习合格率达到了98%。</w:t>
      </w:r>
    </w:p>
    <w:p>
      <w:pPr>
        <w:widowControl/>
        <w:jc w:val="left"/>
        <w:rPr>
          <w:rFonts w:ascii="方正小标宋简体" w:hAnsi="方正小标宋简体" w:eastAsia="方正小标宋简体" w:cs="方正小标宋简体"/>
          <w:bCs/>
          <w:i/>
          <w:color w:val="000000"/>
          <w:kern w:val="0"/>
          <w:sz w:val="28"/>
          <w:szCs w:val="28"/>
        </w:rPr>
      </w:pPr>
      <w:r>
        <w:rPr>
          <w:rFonts w:hint="eastAsia" w:ascii="方正小标宋简体" w:hAnsi="方正小标宋简体" w:eastAsia="方正小标宋简体" w:cs="方正小标宋简体"/>
          <w:bCs/>
          <w:i/>
          <w:color w:val="000000"/>
          <w:kern w:val="0"/>
          <w:sz w:val="28"/>
          <w:szCs w:val="28"/>
        </w:rPr>
        <w:t>【案例】</w:t>
      </w:r>
    </w:p>
    <w:p>
      <w:pPr>
        <w:spacing w:line="460" w:lineRule="exact"/>
        <w:jc w:val="center"/>
        <w:rPr>
          <w:rFonts w:hint="eastAsia" w:ascii="仿宋_GB2312" w:hAnsi="宋体" w:eastAsia="仿宋_GB2312"/>
          <w:sz w:val="28"/>
          <w:szCs w:val="28"/>
        </w:rPr>
      </w:pPr>
      <w:r>
        <w:rPr>
          <w:rFonts w:hint="eastAsia" w:ascii="仿宋_GB2312" w:hAnsi="宋体" w:eastAsia="仿宋_GB2312"/>
          <w:sz w:val="28"/>
          <w:szCs w:val="28"/>
        </w:rPr>
        <w:t>资中县职业技术学校召开工学结合总结暨优秀实习生表彰大会</w:t>
      </w:r>
    </w:p>
    <w:p>
      <w:pPr>
        <w:spacing w:line="360" w:lineRule="auto"/>
        <w:ind w:firstLine="480" w:firstLineChars="200"/>
        <w:jc w:val="left"/>
        <w:rPr>
          <w:rFonts w:hint="eastAsia" w:ascii="仿宋_GB2312" w:hAnsi="宋体" w:eastAsia="仿宋_GB2312"/>
          <w:sz w:val="24"/>
          <w:szCs w:val="24"/>
        </w:rPr>
      </w:pPr>
      <w:r>
        <w:rPr>
          <w:rFonts w:hint="eastAsia" w:ascii="仿宋_GB2312" w:hAnsi="宋体" w:eastAsia="仿宋_GB2312"/>
          <w:sz w:val="24"/>
          <w:szCs w:val="24"/>
        </w:rPr>
        <w:t>8月28日，资中县职业技术学校召开了2019年暑假工学结合总结和表扬优秀实习生大会。</w:t>
      </w:r>
    </w:p>
    <w:p>
      <w:pPr>
        <w:spacing w:line="360" w:lineRule="auto"/>
        <w:ind w:firstLine="480" w:firstLineChars="200"/>
        <w:jc w:val="left"/>
        <w:rPr>
          <w:rFonts w:hint="eastAsia" w:ascii="仿宋_GB2312" w:hAnsi="宋体" w:eastAsia="仿宋_GB2312"/>
          <w:sz w:val="24"/>
          <w:szCs w:val="24"/>
        </w:rPr>
      </w:pPr>
      <w:r>
        <w:rPr>
          <w:rFonts w:hint="eastAsia" w:ascii="仿宋_GB2312" w:hAnsi="宋体" w:eastAsia="仿宋_GB2312"/>
          <w:sz w:val="24"/>
          <w:szCs w:val="24"/>
        </w:rPr>
        <w:t>会上，带队实习教师总结暑假实习情况，生产实习处通报实习学生3个月工资情况，同时，表扬优秀实习生。</w:t>
      </w:r>
    </w:p>
    <w:p>
      <w:pPr>
        <w:spacing w:line="360" w:lineRule="auto"/>
        <w:ind w:firstLine="480" w:firstLineChars="200"/>
        <w:jc w:val="left"/>
        <w:rPr>
          <w:rFonts w:hint="eastAsia" w:ascii="仿宋_GB2312" w:hAnsi="宋体" w:eastAsia="仿宋_GB2312"/>
          <w:sz w:val="24"/>
          <w:szCs w:val="24"/>
        </w:rPr>
      </w:pPr>
      <w:r>
        <w:rPr>
          <w:rFonts w:hint="eastAsia" w:ascii="仿宋_GB2312" w:hAnsi="宋体" w:eastAsia="仿宋_GB2312"/>
          <w:sz w:val="24"/>
          <w:szCs w:val="24"/>
        </w:rPr>
        <w:t>校长邓盛斌表示，学校将进一步加强对实习生的管理，培养技能过硬人才，希望工学结合的同学谦虚谨慎，再接再厉，学习先进，为学校产教融合和校企合作工作添砖加瓦。</w:t>
      </w:r>
    </w:p>
    <w:p>
      <w:pPr>
        <w:spacing w:line="360" w:lineRule="auto"/>
        <w:ind w:firstLine="480" w:firstLineChars="200"/>
        <w:jc w:val="left"/>
        <w:rPr>
          <w:rFonts w:ascii="仿宋_GB2312" w:hAnsi="仿宋_GB2312" w:eastAsia="仿宋_GB2312" w:cs="仿宋_GB2312"/>
          <w:color w:val="000000"/>
          <w:sz w:val="30"/>
          <w:szCs w:val="30"/>
        </w:rPr>
      </w:pPr>
      <w:r>
        <w:rPr>
          <w:rFonts w:hint="eastAsia" w:ascii="仿宋_GB2312" w:hAnsi="宋体" w:eastAsia="仿宋_GB2312"/>
          <w:sz w:val="24"/>
          <w:szCs w:val="24"/>
        </w:rPr>
        <w:t>据了解，双龙职中每年寒、暑假组织符合条件的学生到合作企业带薪实习，旨在让学生通过工学结合等社会实践活动，达到了解社会，求学求技，增强企业管理能力，减轻家庭负担、特别是减轻贫困生家庭负担和体谅父母辛苦的目的。</w:t>
      </w:r>
    </w:p>
    <w:p>
      <w:pPr>
        <w:jc w:val="center"/>
      </w:pPr>
      <w:r>
        <w:rPr>
          <w:rFonts w:ascii="宋体" w:hAnsi="宋体"/>
          <w:sz w:val="24"/>
        </w:rPr>
        <w:drawing>
          <wp:inline distT="0" distB="0" distL="0" distR="0">
            <wp:extent cx="2343150" cy="1628775"/>
            <wp:effectExtent l="0" t="0" r="0" b="9525"/>
            <wp:docPr id="11" name="图片 1" descr="I:\2019下教科室\2019年下工作简报\工学结合暨表彰会\DSC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2019下教科室\2019年下工作简报\工学结合暨表彰会\DSC_0784.JP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43150" cy="1628775"/>
                    </a:xfrm>
                    <a:prstGeom prst="rect">
                      <a:avLst/>
                    </a:prstGeom>
                    <a:noFill/>
                    <a:ln>
                      <a:noFill/>
                    </a:ln>
                  </pic:spPr>
                </pic:pic>
              </a:graphicData>
            </a:graphic>
          </wp:inline>
        </w:drawing>
      </w:r>
      <w:r>
        <w:rPr>
          <w:rFonts w:hint="eastAsia"/>
        </w:rPr>
        <w:t xml:space="preserve">  </w:t>
      </w:r>
      <w:r>
        <w:rPr>
          <w:rFonts w:hint="eastAsia" w:ascii="宋体" w:hAnsi="宋体"/>
          <w:sz w:val="24"/>
          <w:szCs w:val="24"/>
        </w:rPr>
        <w:drawing>
          <wp:inline distT="0" distB="0" distL="0" distR="0">
            <wp:extent cx="2438400" cy="1628775"/>
            <wp:effectExtent l="0" t="0" r="0" b="9525"/>
            <wp:docPr id="8" name="图片 5" descr="I:\2019下教科室\2019年下工作简报\工学结合暨表彰会\DSC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2019下教科室\2019年下工作简报\工学结合暨表彰会\DSC_0849.JP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38400" cy="1628775"/>
                    </a:xfrm>
                    <a:prstGeom prst="rect">
                      <a:avLst/>
                    </a:prstGeom>
                    <a:noFill/>
                    <a:ln>
                      <a:noFill/>
                    </a:ln>
                  </pic:spPr>
                </pic:pic>
              </a:graphicData>
            </a:graphic>
          </wp:inline>
        </w:drawing>
      </w:r>
    </w:p>
    <w:p>
      <w:pPr>
        <w:spacing w:line="460" w:lineRule="exact"/>
        <w:jc w:val="center"/>
        <w:rPr>
          <w:rFonts w:ascii="宋体" w:hAnsi="宋体"/>
          <w:szCs w:val="21"/>
        </w:rPr>
      </w:pPr>
      <w:r>
        <w:rPr>
          <w:rFonts w:hint="eastAsia" w:ascii="宋体" w:hAnsi="宋体"/>
          <w:szCs w:val="21"/>
        </w:rPr>
        <w:t>图4-2  工学结合表彰大会及工资发放</w:t>
      </w:r>
    </w:p>
    <w:p>
      <w:pPr>
        <w:pStyle w:val="3"/>
        <w:spacing w:before="156" w:beforeLines="50" w:after="0"/>
        <w:rPr>
          <w:rFonts w:ascii="黑体" w:hAnsi="黑体" w:eastAsia="黑体"/>
          <w:sz w:val="28"/>
          <w:szCs w:val="28"/>
        </w:rPr>
      </w:pPr>
      <w:bookmarkStart w:id="42" w:name="_Toc29894709"/>
      <w:r>
        <w:rPr>
          <w:rFonts w:hint="eastAsia" w:ascii="黑体" w:hAnsi="黑体" w:eastAsia="黑体"/>
          <w:sz w:val="28"/>
          <w:szCs w:val="28"/>
        </w:rPr>
        <w:t>（三）集团化办学情况</w:t>
      </w:r>
      <w:bookmarkEnd w:id="41"/>
      <w:bookmarkEnd w:id="42"/>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2016年，学校参加丝路·内江职业教育集团，是集团的理事单位。</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2019年，学校参加了由自贡市教育局牵头组建的川南中职职教集团，积极参加了集团内教育教学改革、人才培养模式改革、实习实训交流等活动。</w:t>
      </w:r>
    </w:p>
    <w:p>
      <w:pPr>
        <w:spacing w:before="156" w:beforeLines="5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2019年，学校与四川化工职业技术学院、四川机电职业技术学院、四川航空职业技术学院、四川信息职业技术学院等高职院校合作，探索中高职衔接的现代职教体系构建工作。</w:t>
      </w:r>
    </w:p>
    <w:p>
      <w:pPr>
        <w:widowControl/>
        <w:jc w:val="left"/>
        <w:rPr>
          <w:rFonts w:ascii="方正小标宋简体" w:hAnsi="方正小标宋简体" w:eastAsia="方正小标宋简体" w:cs="方正小标宋简体"/>
          <w:bCs/>
          <w:i/>
          <w:color w:val="000000"/>
          <w:kern w:val="0"/>
          <w:sz w:val="28"/>
          <w:szCs w:val="28"/>
        </w:rPr>
      </w:pPr>
      <w:r>
        <w:rPr>
          <w:rFonts w:hint="eastAsia" w:ascii="方正小标宋简体" w:hAnsi="方正小标宋简体" w:eastAsia="方正小标宋简体" w:cs="方正小标宋简体"/>
          <w:bCs/>
          <w:i/>
          <w:color w:val="000000"/>
          <w:kern w:val="0"/>
          <w:sz w:val="28"/>
          <w:szCs w:val="28"/>
        </w:rPr>
        <w:t>【案例】</w:t>
      </w:r>
    </w:p>
    <w:p>
      <w:pPr>
        <w:jc w:val="center"/>
        <w:rPr>
          <w:rFonts w:hint="eastAsia" w:ascii="仿宋_GB2312" w:hAnsi="黑体" w:eastAsia="仿宋_GB2312"/>
          <w:sz w:val="28"/>
          <w:szCs w:val="28"/>
        </w:rPr>
      </w:pPr>
      <w:r>
        <w:rPr>
          <w:rFonts w:hint="eastAsia" w:ascii="仿宋_GB2312" w:hAnsi="黑体" w:eastAsia="仿宋_GB2312"/>
          <w:sz w:val="28"/>
          <w:szCs w:val="28"/>
        </w:rPr>
        <w:t>资中县职业技术学校加入川南职业教育集团</w:t>
      </w:r>
    </w:p>
    <w:p>
      <w:pPr>
        <w:spacing w:before="156" w:beforeLines="50"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为落实《国家职业教育改革实施方案》，加快推进川南经济区一体化、高质量发展，根据省委、省政府《关于实施“一干多支”发展的实施意见》和省发改委《关于加快推进川南经济区一体化发展的实施意见》的要求，组建川南职业教育集团。</w:t>
      </w:r>
    </w:p>
    <w:p>
      <w:pPr>
        <w:spacing w:before="156" w:beforeLines="50"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川南职业教育集团由自贡、内江、泸州、宜宾四市区域内发改、财政、人社、教育主管部门和高职院校、中职学校、行业企业等单位，在自愿互利、友好协商的基础上组建而成。我校及合作的企业四川魔力风暴科技有限公司是川南职业教育集团的成员单位。</w:t>
      </w:r>
    </w:p>
    <w:p>
      <w:pPr>
        <w:spacing w:before="156" w:beforeLines="50"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川南职业教育集团成立大会于2019年7月4日在四川卫生康复职业学院成功召开，自贡市人民政府秘书长黄晓春主持，会议分三个阶段。第一阶段，由相关领导宣读了《川南职业教育集团章程》、理事会机构名单、2020年轮值工作领导机构名单。第二阶段，自贡市人民政府副市长张铭致辞，自贡市教体局局长周耘汇报组建工作筹备情况，省教厅副厅长戴作安作重要讲话。第三阶段，省教科所副所长黄鑫同志对川南职业教育发展作了专题报告。这次会议，集团成员明白了工作任务、权利和义务，集团成员之间优势互补，资源共享，提高办学效益，促进协调发展，服务区域经济，示范引领，起到了积极的推动作用。</w:t>
      </w:r>
    </w:p>
    <w:p>
      <w:pPr>
        <w:spacing w:before="156" w:beforeLines="50" w:line="360" w:lineRule="auto"/>
        <w:jc w:val="center"/>
        <w:rPr>
          <w:rFonts w:hint="eastAsia" w:ascii="仿宋_GB2312" w:eastAsia="仿宋_GB2312" w:hAnsiTheme="minorEastAsia" w:cstheme="minorEastAsia"/>
          <w:sz w:val="24"/>
          <w:szCs w:val="24"/>
        </w:rPr>
      </w:pPr>
      <w:r>
        <w:drawing>
          <wp:inline distT="0" distB="0" distL="0" distR="0">
            <wp:extent cx="4076700" cy="2286000"/>
            <wp:effectExtent l="0" t="0" r="0" b="0"/>
            <wp:docPr id="12" name="图片 2"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78480" cy="2286778"/>
                    </a:xfrm>
                    <a:prstGeom prst="rect">
                      <a:avLst/>
                    </a:prstGeom>
                    <a:noFill/>
                    <a:ln w="9525">
                      <a:noFill/>
                      <a:miter lim="800000"/>
                      <a:headEnd/>
                      <a:tailEnd/>
                    </a:ln>
                  </pic:spPr>
                </pic:pic>
              </a:graphicData>
            </a:graphic>
          </wp:inline>
        </w:drawing>
      </w:r>
    </w:p>
    <w:p>
      <w:pPr>
        <w:spacing w:line="360" w:lineRule="auto"/>
        <w:jc w:val="center"/>
      </w:pPr>
      <w:r>
        <w:rPr>
          <w:rFonts w:hint="eastAsia"/>
        </w:rPr>
        <w:t>图4-3  川南职业教育集团成立大会</w:t>
      </w:r>
    </w:p>
    <w:p>
      <w:pPr>
        <w:pStyle w:val="2"/>
        <w:spacing w:before="312" w:beforeLines="100" w:after="0"/>
        <w:rPr>
          <w:rFonts w:ascii="黑体" w:hAnsi="黑体" w:eastAsia="黑体"/>
          <w:sz w:val="30"/>
          <w:szCs w:val="30"/>
        </w:rPr>
      </w:pPr>
      <w:bookmarkStart w:id="43" w:name="_Toc29894710"/>
      <w:bookmarkStart w:id="44" w:name="_Toc28938818"/>
      <w:bookmarkStart w:id="45" w:name="_Toc501482423"/>
      <w:r>
        <w:rPr>
          <w:rFonts w:hint="eastAsia" w:ascii="黑体" w:hAnsi="黑体" w:eastAsia="黑体"/>
          <w:sz w:val="30"/>
          <w:szCs w:val="30"/>
        </w:rPr>
        <w:t>五、社会贡献</w:t>
      </w:r>
      <w:bookmarkEnd w:id="43"/>
      <w:bookmarkEnd w:id="44"/>
      <w:bookmarkEnd w:id="45"/>
    </w:p>
    <w:p>
      <w:pPr>
        <w:pStyle w:val="3"/>
        <w:spacing w:before="156" w:beforeLines="50" w:after="0"/>
        <w:rPr>
          <w:rFonts w:ascii="黑体" w:hAnsi="黑体" w:eastAsia="黑体"/>
          <w:sz w:val="28"/>
          <w:szCs w:val="28"/>
        </w:rPr>
      </w:pPr>
      <w:bookmarkStart w:id="46" w:name="_Toc29894711"/>
      <w:bookmarkStart w:id="47" w:name="_Toc501482424"/>
      <w:r>
        <w:rPr>
          <w:rFonts w:hint="eastAsia" w:ascii="黑体" w:hAnsi="黑体" w:eastAsia="黑体"/>
          <w:sz w:val="28"/>
          <w:szCs w:val="28"/>
        </w:rPr>
        <w:t>（一）技术技能人才培养</w:t>
      </w:r>
      <w:bookmarkEnd w:id="46"/>
      <w:bookmarkEnd w:id="47"/>
    </w:p>
    <w:p>
      <w:pPr>
        <w:spacing w:before="156" w:beforeLines="50" w:line="360" w:lineRule="auto"/>
        <w:ind w:firstLine="562" w:firstLineChars="200"/>
        <w:rPr>
          <w:b/>
          <w:sz w:val="28"/>
          <w:szCs w:val="28"/>
        </w:rPr>
      </w:pPr>
      <w:r>
        <w:rPr>
          <w:rFonts w:hint="eastAsia"/>
          <w:b/>
          <w:sz w:val="28"/>
          <w:szCs w:val="28"/>
        </w:rPr>
        <w:t>1.为地方培养技能人才</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2018-2019年度，学校毕业学生662人，培训技术技能人才928人。学校抽样调查了2019届就业的176名毕业生，调查显示，省内（除去内江市以外的省内区域）就业人数占调研就业总人数的13%;省外就业人数87%。2019届毕业生就业区域统计见图5-1。</w:t>
      </w:r>
    </w:p>
    <w:p>
      <w:pPr>
        <w:jc w:val="center"/>
        <w:rPr>
          <w:rFonts w:hint="eastAsia" w:asciiTheme="minorEastAsia" w:hAnsiTheme="minorEastAsia" w:eastAsiaTheme="minorEastAsia"/>
          <w:szCs w:val="21"/>
        </w:rPr>
      </w:pP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表5-1  毕业生就业区域统计表</w:t>
      </w:r>
    </w:p>
    <w:tbl>
      <w:tblPr>
        <w:tblStyle w:val="31"/>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2"/>
        <w:gridCol w:w="2777"/>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992"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名称</w:t>
            </w:r>
          </w:p>
        </w:tc>
        <w:tc>
          <w:tcPr>
            <w:tcW w:w="2777"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就业人数</w:t>
            </w:r>
          </w:p>
        </w:tc>
        <w:tc>
          <w:tcPr>
            <w:tcW w:w="2767"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区域比例（%）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99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省内(除内江市)</w:t>
            </w:r>
          </w:p>
        </w:tc>
        <w:tc>
          <w:tcPr>
            <w:tcW w:w="277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27</w:t>
            </w:r>
          </w:p>
        </w:tc>
        <w:tc>
          <w:tcPr>
            <w:tcW w:w="276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99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市内</w:t>
            </w:r>
          </w:p>
        </w:tc>
        <w:tc>
          <w:tcPr>
            <w:tcW w:w="277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12</w:t>
            </w:r>
          </w:p>
        </w:tc>
        <w:tc>
          <w:tcPr>
            <w:tcW w:w="276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99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省外</w:t>
            </w:r>
          </w:p>
        </w:tc>
        <w:tc>
          <w:tcPr>
            <w:tcW w:w="277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245</w:t>
            </w:r>
          </w:p>
        </w:tc>
        <w:tc>
          <w:tcPr>
            <w:tcW w:w="276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536" w:type="dxa"/>
            <w:gridSpan w:val="3"/>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附：对口升学378人。</w:t>
            </w:r>
          </w:p>
        </w:tc>
      </w:tr>
    </w:tbl>
    <w:p>
      <w:pPr>
        <w:spacing w:before="156" w:beforeLines="50" w:line="360" w:lineRule="auto"/>
        <w:ind w:firstLine="562" w:firstLineChars="200"/>
        <w:rPr>
          <w:b/>
          <w:sz w:val="28"/>
          <w:szCs w:val="28"/>
        </w:rPr>
      </w:pPr>
      <w:r>
        <w:rPr>
          <w:rFonts w:hint="eastAsia"/>
          <w:b/>
          <w:sz w:val="28"/>
          <w:szCs w:val="28"/>
        </w:rPr>
        <w:t>2.社会满意度不断提高</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2019年11月，学校对无锡电仪公司等用人单位和学生家长进行了问卷调研，参与调研的3家用人单位对毕业生工作能力和职业素养进行了评价，结果显示用人单位对毕业生总体满意度较高。用人单位对毕业生综合满意度调查结果见表5-2。</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表5-2  用人单位对学校人才培养总体满意度统计表</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项目</w:t>
            </w:r>
          </w:p>
        </w:tc>
        <w:tc>
          <w:tcPr>
            <w:tcW w:w="1704"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很满意</w:t>
            </w:r>
          </w:p>
        </w:tc>
        <w:tc>
          <w:tcPr>
            <w:tcW w:w="1704"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比较满意</w:t>
            </w:r>
          </w:p>
        </w:tc>
        <w:tc>
          <w:tcPr>
            <w:tcW w:w="1705"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一般</w:t>
            </w:r>
          </w:p>
        </w:tc>
        <w:tc>
          <w:tcPr>
            <w:tcW w:w="1705"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比例(%)</w:t>
            </w:r>
          </w:p>
        </w:tc>
        <w:tc>
          <w:tcPr>
            <w:tcW w:w="1704"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73.52</w:t>
            </w:r>
          </w:p>
        </w:tc>
        <w:tc>
          <w:tcPr>
            <w:tcW w:w="1704"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21.77</w:t>
            </w:r>
          </w:p>
        </w:tc>
        <w:tc>
          <w:tcPr>
            <w:tcW w:w="170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1.69</w:t>
            </w:r>
          </w:p>
        </w:tc>
        <w:tc>
          <w:tcPr>
            <w:tcW w:w="170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3.02</w:t>
            </w:r>
          </w:p>
        </w:tc>
      </w:tr>
    </w:tbl>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2019年12月，学校利用家长座谈会的机会，对436名家长进行了满意度调查，结果见表5-3。</w:t>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表5-3 家长对学校人才培养总体满意度</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项目</w:t>
            </w:r>
          </w:p>
        </w:tc>
        <w:tc>
          <w:tcPr>
            <w:tcW w:w="1704"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很满意</w:t>
            </w:r>
          </w:p>
        </w:tc>
        <w:tc>
          <w:tcPr>
            <w:tcW w:w="1704"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比较满意</w:t>
            </w:r>
          </w:p>
        </w:tc>
        <w:tc>
          <w:tcPr>
            <w:tcW w:w="1705"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一般</w:t>
            </w:r>
          </w:p>
        </w:tc>
        <w:tc>
          <w:tcPr>
            <w:tcW w:w="1705"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比例(%)</w:t>
            </w:r>
          </w:p>
        </w:tc>
        <w:tc>
          <w:tcPr>
            <w:tcW w:w="1704"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67.26</w:t>
            </w:r>
          </w:p>
        </w:tc>
        <w:tc>
          <w:tcPr>
            <w:tcW w:w="1704"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26.70</w:t>
            </w:r>
          </w:p>
        </w:tc>
        <w:tc>
          <w:tcPr>
            <w:tcW w:w="170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2.97</w:t>
            </w:r>
          </w:p>
        </w:tc>
        <w:tc>
          <w:tcPr>
            <w:tcW w:w="170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3.07</w:t>
            </w:r>
          </w:p>
        </w:tc>
      </w:tr>
    </w:tbl>
    <w:p>
      <w:pPr>
        <w:pStyle w:val="3"/>
        <w:spacing w:before="156" w:beforeLines="50" w:after="0"/>
        <w:rPr>
          <w:rFonts w:ascii="黑体" w:hAnsi="黑体" w:eastAsia="黑体"/>
          <w:sz w:val="28"/>
          <w:szCs w:val="28"/>
        </w:rPr>
      </w:pPr>
      <w:bookmarkStart w:id="48" w:name="_Toc501482425"/>
      <w:bookmarkStart w:id="49" w:name="_Toc29894712"/>
      <w:r>
        <w:rPr>
          <w:rFonts w:hint="eastAsia" w:ascii="黑体" w:hAnsi="黑体" w:eastAsia="黑体"/>
          <w:sz w:val="28"/>
          <w:szCs w:val="28"/>
        </w:rPr>
        <w:t>（二）社会服务</w:t>
      </w:r>
      <w:bookmarkEnd w:id="48"/>
      <w:bookmarkEnd w:id="49"/>
    </w:p>
    <w:p>
      <w:pPr>
        <w:spacing w:before="156" w:beforeLines="50" w:line="360" w:lineRule="auto"/>
        <w:ind w:firstLine="562" w:firstLineChars="200"/>
        <w:rPr>
          <w:b/>
          <w:sz w:val="28"/>
          <w:szCs w:val="28"/>
        </w:rPr>
      </w:pPr>
      <w:r>
        <w:rPr>
          <w:rFonts w:hint="eastAsia"/>
          <w:b/>
          <w:sz w:val="28"/>
          <w:szCs w:val="28"/>
        </w:rPr>
        <w:t>1.培训服务</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学校积极开展短期培训，拓宽办学空间。在社会培训服务方面，培训高三毕业生暨青年就业创业培训832人，为马鞍镇村、社干部培训信息技术应用135人，为机关事业单位人员培训礼仪知识309人。</w:t>
      </w:r>
    </w:p>
    <w:p>
      <w:pPr>
        <w:spacing w:before="156" w:beforeLines="50" w:line="360" w:lineRule="auto"/>
        <w:jc w:val="center"/>
        <w:rPr>
          <w:rFonts w:hint="eastAsia" w:asciiTheme="minorEastAsia" w:hAnsiTheme="minorEastAsia" w:eastAsiaTheme="minorEastAsia"/>
          <w:szCs w:val="21"/>
        </w:rPr>
      </w:pP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表5-4社会培训情况统计表</w:t>
      </w:r>
    </w:p>
    <w:tbl>
      <w:tblPr>
        <w:tblStyle w:val="31"/>
        <w:tblW w:w="7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4145"/>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序号</w:t>
            </w:r>
          </w:p>
        </w:tc>
        <w:tc>
          <w:tcPr>
            <w:tcW w:w="4145"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培训项目</w:t>
            </w:r>
          </w:p>
        </w:tc>
        <w:tc>
          <w:tcPr>
            <w:tcW w:w="2233"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培训人次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414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高三毕业生惠民培训</w:t>
            </w:r>
          </w:p>
        </w:tc>
        <w:tc>
          <w:tcPr>
            <w:tcW w:w="22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414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马鞍镇村、社干部信息化培训</w:t>
            </w:r>
          </w:p>
        </w:tc>
        <w:tc>
          <w:tcPr>
            <w:tcW w:w="22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414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机关事业单位礼仪培训</w:t>
            </w:r>
          </w:p>
        </w:tc>
        <w:tc>
          <w:tcPr>
            <w:tcW w:w="22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8" w:type="dxa"/>
            <w:gridSpan w:val="2"/>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合计</w:t>
            </w:r>
          </w:p>
        </w:tc>
        <w:tc>
          <w:tcPr>
            <w:tcW w:w="223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1276</w:t>
            </w:r>
          </w:p>
        </w:tc>
      </w:tr>
    </w:tbl>
    <w:p>
      <w:pPr>
        <w:spacing w:before="156" w:beforeLines="50" w:line="360" w:lineRule="auto"/>
        <w:ind w:firstLine="562" w:firstLineChars="200"/>
        <w:rPr>
          <w:b/>
          <w:sz w:val="28"/>
          <w:szCs w:val="28"/>
        </w:rPr>
      </w:pPr>
      <w:r>
        <w:rPr>
          <w:rFonts w:hint="eastAsia"/>
          <w:b/>
          <w:sz w:val="28"/>
          <w:szCs w:val="28"/>
        </w:rPr>
        <w:t>2.社会服务</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2018-2019学年，学校参加水南镇四通社区服务活动5次，看望并慰问水南镇敬老院老人2人次；参加马鞍社区组织的义务植树活动1次、濛溪河清理工作3次；学校农业类专业探索“家、校、生”融通建设，为村民技术服务共计215人次。</w:t>
      </w:r>
    </w:p>
    <w:p>
      <w:pPr>
        <w:pStyle w:val="3"/>
        <w:spacing w:before="156" w:beforeLines="50" w:after="0"/>
        <w:rPr>
          <w:rFonts w:ascii="黑体" w:hAnsi="黑体" w:eastAsia="黑体"/>
          <w:sz w:val="28"/>
          <w:szCs w:val="28"/>
        </w:rPr>
      </w:pPr>
      <w:bookmarkStart w:id="50" w:name="_Toc501482426"/>
      <w:bookmarkStart w:id="51" w:name="_Toc29894713"/>
      <w:r>
        <w:rPr>
          <w:rFonts w:hint="eastAsia" w:ascii="黑体" w:hAnsi="黑体" w:eastAsia="黑体"/>
          <w:sz w:val="28"/>
          <w:szCs w:val="28"/>
        </w:rPr>
        <w:t>（三）对口支援</w:t>
      </w:r>
      <w:bookmarkEnd w:id="50"/>
      <w:bookmarkEnd w:id="51"/>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按照资中县委组织部的安排，一是学校对口支援太平镇高寺村精准扶贫工作，选派了沈凡力同志任第一书记，学校党支部党员对该村的50名建档立卡人员实行一对一的结对帮扶，开展政策宣传、学生教育、心理咨询等80多人次。二是派出李必刚、彭雪锋、周波、黄勇四位同志驻村扶贫帮扶工作。</w:t>
      </w:r>
    </w:p>
    <w:p>
      <w:pPr>
        <w:pStyle w:val="2"/>
        <w:spacing w:before="312" w:beforeLines="100" w:after="0"/>
        <w:rPr>
          <w:rFonts w:ascii="黑体" w:hAnsi="黑体" w:eastAsia="黑体"/>
          <w:b w:val="0"/>
          <w:sz w:val="30"/>
          <w:szCs w:val="30"/>
        </w:rPr>
      </w:pPr>
      <w:bookmarkStart w:id="52" w:name="_Toc501482427"/>
      <w:bookmarkStart w:id="53" w:name="_Toc29894714"/>
      <w:r>
        <w:rPr>
          <w:rFonts w:hint="eastAsia" w:ascii="黑体" w:hAnsi="黑体" w:eastAsia="黑体"/>
          <w:sz w:val="30"/>
          <w:szCs w:val="30"/>
        </w:rPr>
        <w:t>六、举办者职责</w:t>
      </w:r>
      <w:bookmarkEnd w:id="52"/>
      <w:bookmarkEnd w:id="53"/>
    </w:p>
    <w:p>
      <w:pPr>
        <w:pStyle w:val="3"/>
        <w:spacing w:before="156" w:beforeLines="50" w:after="0"/>
        <w:rPr>
          <w:rFonts w:ascii="黑体" w:hAnsi="黑体" w:eastAsia="黑体"/>
          <w:sz w:val="28"/>
          <w:szCs w:val="28"/>
        </w:rPr>
      </w:pPr>
      <w:bookmarkStart w:id="54" w:name="_Toc501482428"/>
      <w:bookmarkStart w:id="55" w:name="_Toc29894715"/>
      <w:r>
        <w:rPr>
          <w:rFonts w:hint="eastAsia" w:ascii="黑体" w:hAnsi="黑体" w:eastAsia="黑体"/>
          <w:sz w:val="28"/>
          <w:szCs w:val="28"/>
        </w:rPr>
        <w:t>（一）经费</w:t>
      </w:r>
      <w:bookmarkEnd w:id="54"/>
      <w:bookmarkEnd w:id="55"/>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2018-2019年度示范校建设资金1032万，其中中省资金500万元，地方配套资金402万元，企业捐赠资金80万元，学校自筹资金50万元。政策性经费地方财政投入2336万元。学校固定资产总值8118万元，2018至2019年度新增教学及实训设备630万元，日常教学经费投入方面，教学改革经费占13.35%，教科研经费占5.7%。</w:t>
      </w:r>
    </w:p>
    <w:p>
      <w:pPr>
        <w:pStyle w:val="3"/>
        <w:spacing w:before="156" w:beforeLines="50" w:after="0"/>
        <w:rPr>
          <w:rFonts w:ascii="黑体" w:hAnsi="黑体" w:eastAsia="黑体"/>
          <w:sz w:val="28"/>
          <w:szCs w:val="28"/>
        </w:rPr>
      </w:pPr>
      <w:bookmarkStart w:id="56" w:name="_Toc29894716"/>
      <w:bookmarkStart w:id="57" w:name="_Toc501482429"/>
      <w:r>
        <w:rPr>
          <w:rFonts w:hint="eastAsia" w:ascii="黑体" w:hAnsi="黑体" w:eastAsia="黑体"/>
          <w:sz w:val="28"/>
          <w:szCs w:val="28"/>
        </w:rPr>
        <w:t>（二）政策措施</w:t>
      </w:r>
      <w:bookmarkEnd w:id="56"/>
      <w:bookmarkEnd w:id="57"/>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2019年，国家颁布了《国家职业教育改革实施方案》，市、县人民政府按照职教20条的要求，出台一系列政策措施，积极支持职业教育的发展。一是内江市人民政府批复了成立资中县职业技术学校的决定，两校的整合全面完成。资中县人民政府在资中县职业技术学校的编制、机构设立等方面给予大力支持。二是资中县人民政府成立了资中县省示范校项目建设工作领导小组，多次会议指导示范校建设工作。三是资中县财政局根据省示范校建设计划，落实了配套资金402万元。四是资中县教体局出台了《关于规范中职招生的实施方案》，对中职招生实施“阳光工程”，全面规范招生工作。五是内江市人力资源和社会保障局出台了关于开展多类培训，提高劳动者素质的文件，资中县人民政府出台了高三毕业未升学学生技能培训实施方案，2019年培训人数780余人。</w:t>
      </w:r>
    </w:p>
    <w:p>
      <w:pPr>
        <w:pStyle w:val="2"/>
        <w:spacing w:before="312" w:beforeLines="100" w:after="0"/>
        <w:rPr>
          <w:rFonts w:ascii="黑体" w:hAnsi="黑体" w:eastAsia="黑体"/>
          <w:sz w:val="30"/>
          <w:szCs w:val="30"/>
        </w:rPr>
      </w:pPr>
      <w:bookmarkStart w:id="58" w:name="_Toc29894717"/>
      <w:bookmarkStart w:id="59" w:name="_Toc501482430"/>
      <w:r>
        <w:rPr>
          <w:rFonts w:hint="eastAsia" w:ascii="黑体" w:hAnsi="黑体" w:eastAsia="黑体"/>
          <w:sz w:val="30"/>
          <w:szCs w:val="30"/>
        </w:rPr>
        <w:t>七、特色创新</w:t>
      </w:r>
      <w:bookmarkEnd w:id="58"/>
      <w:bookmarkEnd w:id="59"/>
    </w:p>
    <w:p>
      <w:pPr>
        <w:pStyle w:val="3"/>
        <w:spacing w:before="156" w:beforeLines="50" w:after="0"/>
        <w:rPr>
          <w:rFonts w:ascii="黑体" w:hAnsi="黑体" w:eastAsia="黑体"/>
          <w:sz w:val="28"/>
          <w:szCs w:val="28"/>
        </w:rPr>
      </w:pPr>
      <w:bookmarkStart w:id="60" w:name="_Toc29894718"/>
      <w:r>
        <w:rPr>
          <w:rFonts w:hint="eastAsia" w:ascii="黑体" w:hAnsi="黑体" w:eastAsia="黑体"/>
          <w:sz w:val="28"/>
          <w:szCs w:val="28"/>
        </w:rPr>
        <w:t>（一）构建“行真”职教文化，引领学校全面发展</w:t>
      </w:r>
      <w:bookmarkEnd w:id="60"/>
    </w:p>
    <w:p>
      <w:pPr>
        <w:spacing w:before="156" w:beforeLines="50" w:line="360" w:lineRule="auto"/>
        <w:ind w:firstLine="484" w:firstLineChars="202"/>
        <w:rPr>
          <w:rFonts w:asciiTheme="minorEastAsia" w:hAnsiTheme="minorEastAsia" w:eastAsiaTheme="minorEastAsia"/>
          <w:sz w:val="24"/>
          <w:szCs w:val="24"/>
        </w:rPr>
      </w:pPr>
      <w:r>
        <w:rPr>
          <w:rFonts w:asciiTheme="minorEastAsia" w:hAnsiTheme="minorEastAsia" w:eastAsiaTheme="minorEastAsia"/>
          <w:sz w:val="24"/>
          <w:szCs w:val="24"/>
        </w:rPr>
        <w:t>习总书记在全国教育大会上指出，教育的根本任务是培养德智体美劳全面发展的接班人。职业教育更是</w:t>
      </w:r>
      <w:r>
        <w:rPr>
          <w:rFonts w:hint="eastAsia" w:asciiTheme="minorEastAsia" w:hAnsiTheme="minorEastAsia" w:eastAsiaTheme="minorEastAsia"/>
          <w:sz w:val="24"/>
          <w:szCs w:val="24"/>
        </w:rPr>
        <w:t>肩负</w:t>
      </w:r>
      <w:r>
        <w:rPr>
          <w:rFonts w:asciiTheme="minorEastAsia" w:hAnsiTheme="minorEastAsia" w:eastAsiaTheme="minorEastAsia"/>
          <w:sz w:val="24"/>
          <w:szCs w:val="24"/>
        </w:rPr>
        <w:t>着培养德智体美劳全面发展建设者的历史使命，多年以来，我校以求真务实的作风去开展学校的教育教学工作，逐步形成了</w:t>
      </w:r>
      <w:r>
        <w:rPr>
          <w:rFonts w:hint="eastAsia" w:asciiTheme="minorEastAsia" w:hAnsiTheme="minorEastAsia" w:eastAsiaTheme="minorEastAsia"/>
          <w:sz w:val="24"/>
          <w:szCs w:val="24"/>
        </w:rPr>
        <w:t>真干、真教、真学</w:t>
      </w:r>
      <w:r>
        <w:rPr>
          <w:rFonts w:asciiTheme="minorEastAsia" w:hAnsiTheme="minorEastAsia" w:eastAsiaTheme="minorEastAsia"/>
          <w:sz w:val="24"/>
          <w:szCs w:val="24"/>
        </w:rPr>
        <w:t>的精神文化内涵，构建了</w:t>
      </w:r>
      <w:r>
        <w:rPr>
          <w:rFonts w:hint="eastAsia" w:asciiTheme="minorEastAsia" w:hAnsiTheme="minorEastAsia" w:eastAsiaTheme="minorEastAsia"/>
          <w:sz w:val="24"/>
          <w:szCs w:val="24"/>
        </w:rPr>
        <w:t>“行真”</w:t>
      </w:r>
      <w:r>
        <w:rPr>
          <w:rFonts w:asciiTheme="minorEastAsia" w:hAnsiTheme="minorEastAsia" w:eastAsiaTheme="minorEastAsia"/>
          <w:sz w:val="24"/>
          <w:szCs w:val="24"/>
        </w:rPr>
        <w:t>职教的校园精神文化。</w:t>
      </w:r>
    </w:p>
    <w:p>
      <w:pPr>
        <w:spacing w:before="156" w:beforeLines="50" w:line="360" w:lineRule="auto"/>
        <w:ind w:firstLine="484" w:firstLineChars="202"/>
        <w:rPr>
          <w:rFonts w:asciiTheme="minorEastAsia" w:hAnsiTheme="minorEastAsia" w:eastAsiaTheme="minorEastAsia"/>
          <w:sz w:val="24"/>
          <w:szCs w:val="24"/>
        </w:rPr>
      </w:pPr>
      <w:r>
        <w:rPr>
          <w:rFonts w:asciiTheme="minorEastAsia" w:hAnsiTheme="minorEastAsia" w:eastAsiaTheme="minorEastAsia"/>
          <w:sz w:val="24"/>
          <w:szCs w:val="24"/>
        </w:rPr>
        <w:t>挖掘</w:t>
      </w:r>
      <w:r>
        <w:rPr>
          <w:rFonts w:hint="eastAsia" w:asciiTheme="minorEastAsia" w:hAnsiTheme="minorEastAsia" w:eastAsiaTheme="minorEastAsia"/>
          <w:sz w:val="24"/>
          <w:szCs w:val="24"/>
        </w:rPr>
        <w:t>资中</w:t>
      </w:r>
      <w:r>
        <w:rPr>
          <w:rFonts w:asciiTheme="minorEastAsia" w:hAnsiTheme="minorEastAsia" w:eastAsiaTheme="minorEastAsia"/>
          <w:sz w:val="24"/>
          <w:szCs w:val="24"/>
        </w:rPr>
        <w:t>历史文化</w:t>
      </w:r>
      <w:r>
        <w:rPr>
          <w:rFonts w:hint="eastAsia" w:asciiTheme="minorEastAsia" w:hAnsiTheme="minorEastAsia" w:eastAsiaTheme="minorEastAsia"/>
          <w:sz w:val="24"/>
          <w:szCs w:val="24"/>
        </w:rPr>
        <w:t>，</w:t>
      </w:r>
      <w:r>
        <w:rPr>
          <w:rFonts w:asciiTheme="minorEastAsia" w:hAnsiTheme="minorEastAsia" w:eastAsiaTheme="minorEastAsia"/>
          <w:sz w:val="24"/>
          <w:szCs w:val="24"/>
        </w:rPr>
        <w:t>碧血丹心的</w:t>
      </w:r>
      <w:r>
        <w:rPr>
          <w:rFonts w:hint="eastAsia" w:asciiTheme="minorEastAsia" w:hAnsiTheme="minorEastAsia" w:eastAsiaTheme="minorEastAsia"/>
          <w:sz w:val="24"/>
          <w:szCs w:val="24"/>
        </w:rPr>
        <w:t>苌弘</w:t>
      </w:r>
      <w:r>
        <w:rPr>
          <w:rFonts w:asciiTheme="minorEastAsia" w:hAnsiTheme="minorEastAsia" w:eastAsiaTheme="minorEastAsia"/>
          <w:sz w:val="24"/>
          <w:szCs w:val="24"/>
        </w:rPr>
        <w:t>毕生探索音乐的真理</w:t>
      </w:r>
      <w:r>
        <w:rPr>
          <w:rFonts w:hint="eastAsia" w:asciiTheme="minorEastAsia" w:hAnsiTheme="minorEastAsia" w:eastAsiaTheme="minorEastAsia"/>
          <w:sz w:val="24"/>
          <w:szCs w:val="24"/>
        </w:rPr>
        <w:t>；</w:t>
      </w:r>
      <w:r>
        <w:rPr>
          <w:rFonts w:asciiTheme="minorEastAsia" w:hAnsiTheme="minorEastAsia" w:eastAsiaTheme="minorEastAsia"/>
          <w:sz w:val="24"/>
          <w:szCs w:val="24"/>
        </w:rPr>
        <w:t>刚正</w:t>
      </w:r>
      <w:r>
        <w:rPr>
          <w:rFonts w:hint="eastAsia" w:asciiTheme="minorEastAsia" w:hAnsiTheme="minorEastAsia" w:eastAsiaTheme="minorEastAsia"/>
          <w:sz w:val="24"/>
          <w:szCs w:val="24"/>
        </w:rPr>
        <w:t>不阿的</w:t>
      </w:r>
      <w:r>
        <w:rPr>
          <w:rFonts w:asciiTheme="minorEastAsia" w:hAnsiTheme="minorEastAsia" w:eastAsiaTheme="minorEastAsia"/>
          <w:sz w:val="24"/>
          <w:szCs w:val="24"/>
        </w:rPr>
        <w:t>赵奎苦求治国的真理，</w:t>
      </w:r>
      <w:r>
        <w:rPr>
          <w:rFonts w:hint="eastAsia" w:asciiTheme="minorEastAsia" w:hAnsiTheme="minorEastAsia" w:eastAsiaTheme="minorEastAsia"/>
          <w:sz w:val="24"/>
          <w:szCs w:val="24"/>
        </w:rPr>
        <w:t>受人敬仰的骆成骧</w:t>
      </w:r>
      <w:r>
        <w:rPr>
          <w:rFonts w:asciiTheme="minorEastAsia" w:hAnsiTheme="minorEastAsia" w:eastAsiaTheme="minorEastAsia"/>
          <w:sz w:val="24"/>
          <w:szCs w:val="24"/>
        </w:rPr>
        <w:t>创办四川大学求索教育的真理</w:t>
      </w:r>
      <w:r>
        <w:rPr>
          <w:rFonts w:hint="eastAsia" w:asciiTheme="minorEastAsia" w:hAnsiTheme="minorEastAsia" w:eastAsiaTheme="minorEastAsia"/>
          <w:sz w:val="24"/>
          <w:szCs w:val="24"/>
        </w:rPr>
        <w:t>。资中“三贤”的</w:t>
      </w:r>
      <w:r>
        <w:rPr>
          <w:rFonts w:asciiTheme="minorEastAsia" w:hAnsiTheme="minorEastAsia" w:eastAsiaTheme="minorEastAsia"/>
          <w:sz w:val="24"/>
          <w:szCs w:val="24"/>
        </w:rPr>
        <w:t>求真精神是</w:t>
      </w:r>
      <w:r>
        <w:rPr>
          <w:rFonts w:hint="eastAsia" w:asciiTheme="minorEastAsia" w:hAnsiTheme="minorEastAsia" w:eastAsiaTheme="minorEastAsia"/>
          <w:sz w:val="24"/>
          <w:szCs w:val="24"/>
        </w:rPr>
        <w:t>“</w:t>
      </w:r>
      <w:r>
        <w:rPr>
          <w:rFonts w:asciiTheme="minorEastAsia" w:hAnsiTheme="minorEastAsia" w:eastAsiaTheme="minorEastAsia"/>
          <w:sz w:val="24"/>
          <w:szCs w:val="24"/>
        </w:rPr>
        <w:t>求真</w:t>
      </w:r>
      <w:r>
        <w:rPr>
          <w:rFonts w:hint="eastAsia" w:asciiTheme="minorEastAsia" w:hAnsiTheme="minorEastAsia" w:eastAsiaTheme="minorEastAsia"/>
          <w:sz w:val="24"/>
          <w:szCs w:val="24"/>
        </w:rPr>
        <w:t>、</w:t>
      </w:r>
      <w:r>
        <w:rPr>
          <w:rFonts w:asciiTheme="minorEastAsia" w:hAnsiTheme="minorEastAsia" w:eastAsiaTheme="minorEastAsia"/>
          <w:sz w:val="24"/>
          <w:szCs w:val="24"/>
        </w:rPr>
        <w:t>务实</w:t>
      </w:r>
      <w:r>
        <w:rPr>
          <w:rFonts w:hint="eastAsia" w:asciiTheme="minorEastAsia" w:hAnsiTheme="minorEastAsia" w:eastAsiaTheme="minorEastAsia"/>
          <w:sz w:val="24"/>
          <w:szCs w:val="24"/>
        </w:rPr>
        <w:t>、</w:t>
      </w:r>
      <w:r>
        <w:rPr>
          <w:rFonts w:asciiTheme="minorEastAsia" w:hAnsiTheme="minorEastAsia" w:eastAsiaTheme="minorEastAsia"/>
          <w:sz w:val="24"/>
          <w:szCs w:val="24"/>
        </w:rPr>
        <w:t>专注</w:t>
      </w:r>
      <w:r>
        <w:rPr>
          <w:rFonts w:hint="eastAsia" w:asciiTheme="minorEastAsia" w:hAnsiTheme="minorEastAsia" w:eastAsiaTheme="minorEastAsia"/>
          <w:sz w:val="24"/>
          <w:szCs w:val="24"/>
        </w:rPr>
        <w:t>、</w:t>
      </w:r>
      <w:r>
        <w:rPr>
          <w:rFonts w:asciiTheme="minorEastAsia" w:hAnsiTheme="minorEastAsia" w:eastAsiaTheme="minorEastAsia"/>
          <w:sz w:val="24"/>
          <w:szCs w:val="24"/>
        </w:rPr>
        <w:t>发展</w:t>
      </w:r>
      <w:r>
        <w:rPr>
          <w:rFonts w:hint="eastAsia" w:asciiTheme="minorEastAsia" w:hAnsiTheme="minorEastAsia" w:eastAsiaTheme="minorEastAsia"/>
          <w:sz w:val="24"/>
          <w:szCs w:val="24"/>
        </w:rPr>
        <w:t>”</w:t>
      </w:r>
      <w:r>
        <w:rPr>
          <w:rFonts w:asciiTheme="minorEastAsia" w:hAnsiTheme="minorEastAsia" w:eastAsiaTheme="minorEastAsia"/>
          <w:sz w:val="24"/>
          <w:szCs w:val="24"/>
        </w:rPr>
        <w:t>观念的凝聚，与我校积极倡导的</w:t>
      </w:r>
      <w:r>
        <w:rPr>
          <w:rFonts w:hint="eastAsia" w:asciiTheme="minorEastAsia" w:hAnsiTheme="minorEastAsia" w:eastAsiaTheme="minorEastAsia"/>
          <w:sz w:val="24"/>
          <w:szCs w:val="24"/>
        </w:rPr>
        <w:t>“</w:t>
      </w:r>
      <w:r>
        <w:rPr>
          <w:rFonts w:asciiTheme="minorEastAsia" w:hAnsiTheme="minorEastAsia" w:eastAsiaTheme="minorEastAsia"/>
          <w:sz w:val="24"/>
          <w:szCs w:val="24"/>
        </w:rPr>
        <w:t>真抓实干</w:t>
      </w:r>
      <w:r>
        <w:rPr>
          <w:rFonts w:hint="eastAsia" w:asciiTheme="minorEastAsia" w:hAnsiTheme="minorEastAsia" w:eastAsiaTheme="minorEastAsia"/>
          <w:sz w:val="24"/>
          <w:szCs w:val="24"/>
        </w:rPr>
        <w:t>，</w:t>
      </w:r>
      <w:r>
        <w:rPr>
          <w:rFonts w:asciiTheme="minorEastAsia" w:hAnsiTheme="minorEastAsia" w:eastAsiaTheme="minorEastAsia"/>
          <w:sz w:val="24"/>
          <w:szCs w:val="24"/>
        </w:rPr>
        <w:t>真教实</w:t>
      </w:r>
      <w:r>
        <w:rPr>
          <w:rFonts w:hint="eastAsia" w:asciiTheme="minorEastAsia" w:hAnsiTheme="minorEastAsia" w:eastAsiaTheme="minorEastAsia"/>
          <w:sz w:val="24"/>
          <w:szCs w:val="24"/>
        </w:rPr>
        <w:t>学”</w:t>
      </w:r>
      <w:r>
        <w:rPr>
          <w:rFonts w:asciiTheme="minorEastAsia" w:hAnsiTheme="minorEastAsia" w:eastAsiaTheme="minorEastAsia"/>
          <w:sz w:val="24"/>
          <w:szCs w:val="24"/>
        </w:rPr>
        <w:t>的</w:t>
      </w:r>
      <w:r>
        <w:rPr>
          <w:rFonts w:hint="eastAsia" w:asciiTheme="minorEastAsia" w:hAnsiTheme="minorEastAsia" w:eastAsiaTheme="minorEastAsia"/>
          <w:sz w:val="24"/>
          <w:szCs w:val="24"/>
        </w:rPr>
        <w:t>观念</w:t>
      </w:r>
      <w:r>
        <w:rPr>
          <w:rFonts w:asciiTheme="minorEastAsia" w:hAnsiTheme="minorEastAsia" w:eastAsiaTheme="minorEastAsia"/>
          <w:sz w:val="24"/>
          <w:szCs w:val="24"/>
        </w:rPr>
        <w:t>高度一致</w:t>
      </w:r>
      <w:r>
        <w:rPr>
          <w:rFonts w:hint="eastAsia" w:asciiTheme="minorEastAsia" w:hAnsiTheme="minorEastAsia" w:eastAsiaTheme="minorEastAsia"/>
          <w:sz w:val="24"/>
          <w:szCs w:val="24"/>
        </w:rPr>
        <w:t>。资中“三贤”</w:t>
      </w:r>
      <w:r>
        <w:rPr>
          <w:rFonts w:asciiTheme="minorEastAsia" w:hAnsiTheme="minorEastAsia" w:eastAsiaTheme="minorEastAsia"/>
          <w:sz w:val="24"/>
          <w:szCs w:val="24"/>
        </w:rPr>
        <w:t>的求真精神是我们构建</w:t>
      </w:r>
      <w:r>
        <w:rPr>
          <w:rFonts w:hint="eastAsia" w:asciiTheme="minorEastAsia" w:hAnsiTheme="minorEastAsia" w:eastAsiaTheme="minorEastAsia"/>
          <w:sz w:val="24"/>
          <w:szCs w:val="24"/>
        </w:rPr>
        <w:t>“行真”</w:t>
      </w:r>
      <w:r>
        <w:rPr>
          <w:rFonts w:asciiTheme="minorEastAsia" w:hAnsiTheme="minorEastAsia" w:eastAsiaTheme="minorEastAsia"/>
          <w:sz w:val="24"/>
          <w:szCs w:val="24"/>
        </w:rPr>
        <w:t>职教校园文化的历史文化基础。</w:t>
      </w:r>
    </w:p>
    <w:p>
      <w:pPr>
        <w:spacing w:before="156" w:beforeLines="50" w:line="360" w:lineRule="auto"/>
        <w:ind w:firstLine="484" w:firstLineChars="202"/>
        <w:rPr>
          <w:rFonts w:asciiTheme="minorEastAsia" w:hAnsiTheme="minorEastAsia" w:eastAsiaTheme="minorEastAsia"/>
          <w:sz w:val="24"/>
          <w:szCs w:val="24"/>
        </w:rPr>
      </w:pPr>
      <w:r>
        <w:rPr>
          <w:rFonts w:asciiTheme="minorEastAsia" w:hAnsiTheme="minorEastAsia" w:eastAsiaTheme="minorEastAsia"/>
          <w:sz w:val="24"/>
          <w:szCs w:val="24"/>
        </w:rPr>
        <w:t>传承先辈艰苦创业的优良传统，80~90年代前辈领导班子面对艰苦的办学条件，带领全校师生克服种种困难</w:t>
      </w:r>
      <w:r>
        <w:rPr>
          <w:rFonts w:hint="eastAsia" w:asciiTheme="minorEastAsia" w:hAnsiTheme="minorEastAsia" w:eastAsiaTheme="minorEastAsia"/>
          <w:sz w:val="24"/>
          <w:szCs w:val="24"/>
        </w:rPr>
        <w:t>，</w:t>
      </w:r>
      <w:r>
        <w:rPr>
          <w:rFonts w:asciiTheme="minorEastAsia" w:hAnsiTheme="minorEastAsia" w:eastAsiaTheme="minorEastAsia"/>
          <w:sz w:val="24"/>
          <w:szCs w:val="24"/>
        </w:rPr>
        <w:t>学校艰难</w:t>
      </w:r>
      <w:r>
        <w:rPr>
          <w:rFonts w:hint="eastAsia" w:asciiTheme="minorEastAsia" w:hAnsiTheme="minorEastAsia" w:eastAsiaTheme="minorEastAsia"/>
          <w:sz w:val="24"/>
          <w:szCs w:val="24"/>
        </w:rPr>
        <w:t>曲折</w:t>
      </w:r>
      <w:r>
        <w:rPr>
          <w:rFonts w:asciiTheme="minorEastAsia" w:hAnsiTheme="minorEastAsia" w:eastAsiaTheme="minorEastAsia"/>
          <w:sz w:val="24"/>
          <w:szCs w:val="24"/>
        </w:rPr>
        <w:t>的发展，今天我们发扬这种精神。提炼形成求真务实的</w:t>
      </w:r>
      <w:r>
        <w:rPr>
          <w:rFonts w:hint="eastAsia" w:asciiTheme="minorEastAsia" w:hAnsiTheme="minorEastAsia" w:eastAsiaTheme="minorEastAsia"/>
          <w:sz w:val="24"/>
          <w:szCs w:val="24"/>
        </w:rPr>
        <w:t>“行真”</w:t>
      </w:r>
      <w:r>
        <w:rPr>
          <w:rFonts w:asciiTheme="minorEastAsia" w:hAnsiTheme="minorEastAsia" w:eastAsiaTheme="minorEastAsia"/>
          <w:sz w:val="24"/>
          <w:szCs w:val="24"/>
        </w:rPr>
        <w:t>职教文化精神。</w:t>
      </w:r>
    </w:p>
    <w:p>
      <w:pPr>
        <w:spacing w:before="156" w:beforeLines="50" w:line="360" w:lineRule="auto"/>
        <w:ind w:firstLine="484" w:firstLineChars="202"/>
        <w:rPr>
          <w:rFonts w:asciiTheme="minorEastAsia" w:hAnsiTheme="minorEastAsia" w:eastAsiaTheme="minorEastAsia"/>
          <w:sz w:val="24"/>
          <w:szCs w:val="24"/>
        </w:rPr>
      </w:pPr>
      <w:r>
        <w:rPr>
          <w:rFonts w:asciiTheme="minorEastAsia" w:hAnsiTheme="minorEastAsia" w:eastAsiaTheme="minorEastAsia"/>
          <w:sz w:val="24"/>
          <w:szCs w:val="24"/>
        </w:rPr>
        <w:t>在</w:t>
      </w:r>
      <w:r>
        <w:rPr>
          <w:rFonts w:hint="eastAsia" w:asciiTheme="minorEastAsia" w:hAnsiTheme="minorEastAsia" w:eastAsiaTheme="minorEastAsia"/>
          <w:sz w:val="24"/>
          <w:szCs w:val="24"/>
        </w:rPr>
        <w:t>“</w:t>
      </w:r>
      <w:r>
        <w:rPr>
          <w:rFonts w:asciiTheme="minorEastAsia" w:hAnsiTheme="minorEastAsia" w:eastAsiaTheme="minorEastAsia"/>
          <w:sz w:val="24"/>
          <w:szCs w:val="24"/>
        </w:rPr>
        <w:t>行</w:t>
      </w:r>
      <w:r>
        <w:rPr>
          <w:rFonts w:hint="eastAsia" w:asciiTheme="minorEastAsia" w:hAnsiTheme="minorEastAsia" w:eastAsiaTheme="minorEastAsia"/>
          <w:sz w:val="24"/>
          <w:szCs w:val="24"/>
        </w:rPr>
        <w:t>真”</w:t>
      </w:r>
      <w:r>
        <w:rPr>
          <w:rFonts w:asciiTheme="minorEastAsia" w:hAnsiTheme="minorEastAsia" w:eastAsiaTheme="minorEastAsia"/>
          <w:sz w:val="24"/>
          <w:szCs w:val="24"/>
        </w:rPr>
        <w:t>职教文化的引领下，学校坚持内涵发展，提高核心竞争力，办人民满意的中职学校的发展思路，以求真务实的工作作风促进学校的内涵提升，促进学校的良性发展。</w:t>
      </w:r>
    </w:p>
    <w:p>
      <w:pPr>
        <w:spacing w:before="156" w:beforeLines="50" w:line="360" w:lineRule="auto"/>
        <w:ind w:firstLine="562" w:firstLineChars="200"/>
        <w:rPr>
          <w:b/>
          <w:sz w:val="28"/>
          <w:szCs w:val="28"/>
        </w:rPr>
      </w:pPr>
      <w:r>
        <w:rPr>
          <w:rFonts w:hint="eastAsia"/>
          <w:b/>
          <w:sz w:val="28"/>
          <w:szCs w:val="28"/>
        </w:rPr>
        <w:t>1.</w:t>
      </w:r>
      <w:r>
        <w:rPr>
          <w:b/>
          <w:sz w:val="28"/>
          <w:szCs w:val="28"/>
        </w:rPr>
        <w:t>构建</w:t>
      </w:r>
      <w:r>
        <w:rPr>
          <w:rFonts w:hint="eastAsia"/>
          <w:b/>
          <w:sz w:val="28"/>
          <w:szCs w:val="28"/>
        </w:rPr>
        <w:t>“</w:t>
      </w:r>
      <w:r>
        <w:rPr>
          <w:b/>
          <w:sz w:val="28"/>
          <w:szCs w:val="28"/>
        </w:rPr>
        <w:t>行</w:t>
      </w:r>
      <w:r>
        <w:rPr>
          <w:rFonts w:hint="eastAsia"/>
          <w:b/>
          <w:sz w:val="28"/>
          <w:szCs w:val="28"/>
        </w:rPr>
        <w:t>真”</w:t>
      </w:r>
      <w:r>
        <w:rPr>
          <w:b/>
          <w:sz w:val="28"/>
          <w:szCs w:val="28"/>
        </w:rPr>
        <w:t>职教精神文化</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⑴</w:t>
      </w:r>
      <w:r>
        <w:rPr>
          <w:rFonts w:asciiTheme="minorEastAsia" w:hAnsiTheme="minorEastAsia" w:eastAsiaTheme="minorEastAsia"/>
          <w:sz w:val="24"/>
          <w:szCs w:val="24"/>
        </w:rPr>
        <w:t>树立</w:t>
      </w:r>
      <w:r>
        <w:rPr>
          <w:rFonts w:hint="eastAsia" w:asciiTheme="minorEastAsia" w:hAnsiTheme="minorEastAsia" w:eastAsiaTheme="minorEastAsia"/>
          <w:sz w:val="24"/>
          <w:szCs w:val="24"/>
        </w:rPr>
        <w:t>“</w:t>
      </w:r>
      <w:r>
        <w:rPr>
          <w:rFonts w:asciiTheme="minorEastAsia" w:hAnsiTheme="minorEastAsia" w:eastAsiaTheme="minorEastAsia"/>
          <w:sz w:val="24"/>
          <w:szCs w:val="24"/>
        </w:rPr>
        <w:t>行</w:t>
      </w:r>
      <w:r>
        <w:rPr>
          <w:rFonts w:hint="eastAsia" w:asciiTheme="minorEastAsia" w:hAnsiTheme="minorEastAsia" w:eastAsiaTheme="minorEastAsia"/>
          <w:sz w:val="24"/>
          <w:szCs w:val="24"/>
        </w:rPr>
        <w:t>真”</w:t>
      </w:r>
      <w:r>
        <w:rPr>
          <w:rFonts w:asciiTheme="minorEastAsia" w:hAnsiTheme="minorEastAsia" w:eastAsiaTheme="minorEastAsia"/>
          <w:sz w:val="24"/>
          <w:szCs w:val="24"/>
        </w:rPr>
        <w:t>育人观念</w:t>
      </w:r>
      <w:r>
        <w:rPr>
          <w:rFonts w:hint="eastAsia" w:asciiTheme="minorEastAsia" w:hAnsiTheme="minorEastAsia" w:eastAsiaTheme="minorEastAsia"/>
          <w:sz w:val="24"/>
          <w:szCs w:val="24"/>
        </w:rPr>
        <w:t>。</w:t>
      </w:r>
    </w:p>
    <w:p>
      <w:pPr>
        <w:spacing w:before="156" w:beforeLines="50" w:line="360" w:lineRule="auto"/>
        <w:ind w:firstLine="484" w:firstLineChars="202"/>
        <w:rPr>
          <w:rFonts w:asciiTheme="minorEastAsia" w:hAnsiTheme="minorEastAsia" w:eastAsiaTheme="minorEastAsia"/>
          <w:sz w:val="24"/>
          <w:szCs w:val="24"/>
        </w:rPr>
      </w:pPr>
      <w:r>
        <w:rPr>
          <w:rFonts w:asciiTheme="minorEastAsia" w:hAnsiTheme="minorEastAsia" w:eastAsiaTheme="minorEastAsia"/>
          <w:sz w:val="24"/>
          <w:szCs w:val="24"/>
        </w:rPr>
        <w:t>职业教育的目标，是培养</w:t>
      </w:r>
      <w:r>
        <w:rPr>
          <w:rFonts w:hint="eastAsia" w:asciiTheme="minorEastAsia" w:hAnsiTheme="minorEastAsia" w:eastAsiaTheme="minorEastAsia"/>
          <w:sz w:val="24"/>
          <w:szCs w:val="24"/>
        </w:rPr>
        <w:t>真正</w:t>
      </w:r>
      <w:r>
        <w:rPr>
          <w:rFonts w:asciiTheme="minorEastAsia" w:hAnsiTheme="minorEastAsia" w:eastAsiaTheme="minorEastAsia"/>
          <w:sz w:val="24"/>
          <w:szCs w:val="24"/>
        </w:rPr>
        <w:t>的人，让每一个从学校走出来的学生都有良好的品德和职业素养，过硬的文化素养和专业技能，</w:t>
      </w:r>
      <w:r>
        <w:rPr>
          <w:rFonts w:hint="eastAsia" w:asciiTheme="minorEastAsia" w:hAnsiTheme="minorEastAsia" w:eastAsiaTheme="minorEastAsia"/>
          <w:sz w:val="24"/>
          <w:szCs w:val="24"/>
        </w:rPr>
        <w:t>能</w:t>
      </w:r>
      <w:r>
        <w:rPr>
          <w:rFonts w:asciiTheme="minorEastAsia" w:hAnsiTheme="minorEastAsia" w:eastAsiaTheme="minorEastAsia"/>
          <w:sz w:val="24"/>
          <w:szCs w:val="24"/>
        </w:rPr>
        <w:t>在社会的竞争中立足并脱颖而出，成就人生的辉煌。</w:t>
      </w:r>
      <w:r>
        <w:rPr>
          <w:rFonts w:hint="eastAsia" w:asciiTheme="minorEastAsia" w:hAnsiTheme="minorEastAsia" w:eastAsiaTheme="minorEastAsia"/>
          <w:sz w:val="24"/>
          <w:szCs w:val="24"/>
        </w:rPr>
        <w:t>“</w:t>
      </w:r>
      <w:r>
        <w:rPr>
          <w:rFonts w:asciiTheme="minorEastAsia" w:hAnsiTheme="minorEastAsia" w:eastAsiaTheme="minorEastAsia"/>
          <w:sz w:val="24"/>
          <w:szCs w:val="24"/>
        </w:rPr>
        <w:t>行</w:t>
      </w:r>
      <w:r>
        <w:rPr>
          <w:rFonts w:hint="eastAsia" w:asciiTheme="minorEastAsia" w:hAnsiTheme="minorEastAsia" w:eastAsiaTheme="minorEastAsia"/>
          <w:sz w:val="24"/>
          <w:szCs w:val="24"/>
        </w:rPr>
        <w:t>真”</w:t>
      </w:r>
      <w:r>
        <w:rPr>
          <w:rFonts w:asciiTheme="minorEastAsia" w:hAnsiTheme="minorEastAsia" w:eastAsiaTheme="minorEastAsia"/>
          <w:sz w:val="24"/>
          <w:szCs w:val="24"/>
        </w:rPr>
        <w:t>职教文化建设是一种育人求真</w:t>
      </w:r>
      <w:r>
        <w:rPr>
          <w:rFonts w:hint="eastAsia" w:asciiTheme="minorEastAsia" w:hAnsiTheme="minorEastAsia" w:eastAsiaTheme="minorEastAsia"/>
          <w:sz w:val="24"/>
          <w:szCs w:val="24"/>
        </w:rPr>
        <w:t>、</w:t>
      </w:r>
      <w:r>
        <w:rPr>
          <w:rFonts w:asciiTheme="minorEastAsia" w:hAnsiTheme="minorEastAsia" w:eastAsiaTheme="minorEastAsia"/>
          <w:sz w:val="24"/>
          <w:szCs w:val="24"/>
        </w:rPr>
        <w:t>务实的实践</w:t>
      </w:r>
      <w:r>
        <w:rPr>
          <w:rFonts w:hint="eastAsia" w:asciiTheme="minorEastAsia" w:hAnsiTheme="minorEastAsia" w:eastAsiaTheme="minorEastAsia"/>
          <w:sz w:val="24"/>
          <w:szCs w:val="24"/>
        </w:rPr>
        <w:t>，</w:t>
      </w:r>
      <w:r>
        <w:rPr>
          <w:rFonts w:asciiTheme="minorEastAsia" w:hAnsiTheme="minorEastAsia" w:eastAsiaTheme="minorEastAsia"/>
          <w:sz w:val="24"/>
          <w:szCs w:val="24"/>
        </w:rPr>
        <w:t>探索做</w:t>
      </w:r>
      <w:r>
        <w:rPr>
          <w:rFonts w:hint="eastAsia" w:asciiTheme="minorEastAsia" w:hAnsiTheme="minorEastAsia" w:eastAsiaTheme="minorEastAsia"/>
          <w:sz w:val="24"/>
          <w:szCs w:val="24"/>
        </w:rPr>
        <w:t>“</w:t>
      </w:r>
      <w:r>
        <w:rPr>
          <w:rFonts w:asciiTheme="minorEastAsia" w:hAnsiTheme="minorEastAsia" w:eastAsiaTheme="minorEastAsia"/>
          <w:sz w:val="24"/>
          <w:szCs w:val="24"/>
        </w:rPr>
        <w:t>真教育</w:t>
      </w:r>
      <w:r>
        <w:rPr>
          <w:rFonts w:hint="eastAsia" w:asciiTheme="minorEastAsia" w:hAnsiTheme="minorEastAsia" w:eastAsiaTheme="minorEastAsia"/>
          <w:sz w:val="24"/>
          <w:szCs w:val="24"/>
        </w:rPr>
        <w:t>、</w:t>
      </w:r>
      <w:r>
        <w:rPr>
          <w:rFonts w:asciiTheme="minorEastAsia" w:hAnsiTheme="minorEastAsia" w:eastAsiaTheme="minorEastAsia"/>
          <w:sz w:val="24"/>
          <w:szCs w:val="24"/>
        </w:rPr>
        <w:t>真教学，真学习</w:t>
      </w:r>
      <w:r>
        <w:rPr>
          <w:rFonts w:hint="eastAsia" w:asciiTheme="minorEastAsia" w:hAnsiTheme="minorEastAsia" w:eastAsiaTheme="minorEastAsia"/>
          <w:sz w:val="24"/>
          <w:szCs w:val="24"/>
        </w:rPr>
        <w:t>”</w:t>
      </w:r>
      <w:r>
        <w:rPr>
          <w:rFonts w:asciiTheme="minorEastAsia" w:hAnsiTheme="minorEastAsia" w:eastAsiaTheme="minorEastAsia"/>
          <w:sz w:val="24"/>
          <w:szCs w:val="24"/>
        </w:rPr>
        <w:t>的实践</w:t>
      </w:r>
      <w:r>
        <w:rPr>
          <w:rFonts w:hint="eastAsia" w:asciiTheme="minorEastAsia" w:hAnsiTheme="minorEastAsia" w:eastAsiaTheme="minorEastAsia"/>
          <w:sz w:val="24"/>
          <w:szCs w:val="24"/>
        </w:rPr>
        <w:t>路径</w:t>
      </w:r>
      <w:r>
        <w:rPr>
          <w:rFonts w:asciiTheme="minorEastAsia" w:hAnsiTheme="minorEastAsia" w:eastAsiaTheme="minorEastAsia"/>
          <w:sz w:val="24"/>
          <w:szCs w:val="24"/>
        </w:rPr>
        <w:t>。</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⑵奉</w:t>
      </w:r>
      <w:r>
        <w:rPr>
          <w:rFonts w:asciiTheme="minorEastAsia" w:hAnsiTheme="minorEastAsia" w:eastAsiaTheme="minorEastAsia"/>
          <w:sz w:val="24"/>
          <w:szCs w:val="24"/>
        </w:rPr>
        <w:t>行</w:t>
      </w:r>
      <w:r>
        <w:rPr>
          <w:rFonts w:hint="eastAsia" w:asciiTheme="minorEastAsia" w:hAnsiTheme="minorEastAsia" w:eastAsiaTheme="minorEastAsia"/>
          <w:sz w:val="24"/>
          <w:szCs w:val="24"/>
        </w:rPr>
        <w:t>“</w:t>
      </w:r>
      <w:r>
        <w:rPr>
          <w:rFonts w:asciiTheme="minorEastAsia" w:hAnsiTheme="minorEastAsia" w:eastAsiaTheme="minorEastAsia"/>
          <w:sz w:val="24"/>
          <w:szCs w:val="24"/>
        </w:rPr>
        <w:t>行</w:t>
      </w:r>
      <w:r>
        <w:rPr>
          <w:rFonts w:hint="eastAsia" w:asciiTheme="minorEastAsia" w:hAnsiTheme="minorEastAsia" w:eastAsiaTheme="minorEastAsia"/>
          <w:sz w:val="24"/>
          <w:szCs w:val="24"/>
        </w:rPr>
        <w:t>真”</w:t>
      </w:r>
      <w:r>
        <w:rPr>
          <w:rFonts w:asciiTheme="minorEastAsia" w:hAnsiTheme="minorEastAsia" w:eastAsiaTheme="minorEastAsia"/>
          <w:sz w:val="24"/>
          <w:szCs w:val="24"/>
        </w:rPr>
        <w:t>管理方式，突破成规，重塑时效性的常态化管理。领导班子奉行</w:t>
      </w:r>
      <w:r>
        <w:rPr>
          <w:rFonts w:hint="eastAsia" w:asciiTheme="minorEastAsia" w:hAnsiTheme="minorEastAsia" w:eastAsiaTheme="minorEastAsia"/>
          <w:sz w:val="24"/>
          <w:szCs w:val="24"/>
        </w:rPr>
        <w:t>“</w:t>
      </w:r>
      <w:r>
        <w:rPr>
          <w:rFonts w:asciiTheme="minorEastAsia" w:hAnsiTheme="minorEastAsia" w:eastAsiaTheme="minorEastAsia"/>
          <w:sz w:val="24"/>
          <w:szCs w:val="24"/>
        </w:rPr>
        <w:t>真抓实干</w:t>
      </w:r>
      <w:r>
        <w:rPr>
          <w:rFonts w:hint="eastAsia" w:asciiTheme="minorEastAsia" w:hAnsiTheme="minorEastAsia" w:eastAsiaTheme="minorEastAsia"/>
          <w:sz w:val="24"/>
          <w:szCs w:val="24"/>
        </w:rPr>
        <w:t>”</w:t>
      </w:r>
      <w:r>
        <w:rPr>
          <w:rFonts w:asciiTheme="minorEastAsia" w:hAnsiTheme="minorEastAsia" w:eastAsiaTheme="minorEastAsia"/>
          <w:sz w:val="24"/>
          <w:szCs w:val="24"/>
        </w:rPr>
        <w:t>的过程管理原则</w:t>
      </w:r>
      <w:r>
        <w:rPr>
          <w:rFonts w:hint="eastAsia" w:asciiTheme="minorEastAsia" w:hAnsiTheme="minorEastAsia" w:eastAsiaTheme="minorEastAsia"/>
          <w:sz w:val="24"/>
          <w:szCs w:val="24"/>
        </w:rPr>
        <w:t>。</w:t>
      </w:r>
      <w:r>
        <w:rPr>
          <w:rFonts w:asciiTheme="minorEastAsia" w:hAnsiTheme="minorEastAsia" w:eastAsiaTheme="minorEastAsia"/>
          <w:sz w:val="24"/>
          <w:szCs w:val="24"/>
        </w:rPr>
        <w:t>一是决策层放权</w:t>
      </w:r>
      <w:r>
        <w:rPr>
          <w:rFonts w:hint="eastAsia" w:asciiTheme="minorEastAsia" w:hAnsiTheme="minorEastAsia" w:eastAsiaTheme="minorEastAsia"/>
          <w:sz w:val="24"/>
          <w:szCs w:val="24"/>
        </w:rPr>
        <w:t>，</w:t>
      </w:r>
      <w:r>
        <w:rPr>
          <w:rFonts w:asciiTheme="minorEastAsia" w:hAnsiTheme="minorEastAsia" w:eastAsiaTheme="minorEastAsia"/>
          <w:sz w:val="24"/>
          <w:szCs w:val="24"/>
        </w:rPr>
        <w:t>强化监督与质量控制，执行层行权</w:t>
      </w:r>
      <w:r>
        <w:rPr>
          <w:rFonts w:hint="eastAsia" w:asciiTheme="minorEastAsia" w:hAnsiTheme="minorEastAsia" w:eastAsiaTheme="minorEastAsia"/>
          <w:sz w:val="24"/>
          <w:szCs w:val="24"/>
        </w:rPr>
        <w:t>，</w:t>
      </w:r>
      <w:r>
        <w:rPr>
          <w:rFonts w:asciiTheme="minorEastAsia" w:hAnsiTheme="minorEastAsia" w:eastAsiaTheme="minorEastAsia"/>
          <w:sz w:val="24"/>
          <w:szCs w:val="24"/>
        </w:rPr>
        <w:t>固化目标</w:t>
      </w:r>
      <w:r>
        <w:rPr>
          <w:rFonts w:hint="eastAsia" w:asciiTheme="minorEastAsia" w:hAnsiTheme="minorEastAsia" w:eastAsiaTheme="minorEastAsia"/>
          <w:sz w:val="24"/>
          <w:szCs w:val="24"/>
        </w:rPr>
        <w:t>，</w:t>
      </w:r>
      <w:r>
        <w:rPr>
          <w:rFonts w:asciiTheme="minorEastAsia" w:hAnsiTheme="minorEastAsia" w:eastAsiaTheme="minorEastAsia"/>
          <w:sz w:val="24"/>
          <w:szCs w:val="24"/>
        </w:rPr>
        <w:t>向结果负责。二是</w:t>
      </w:r>
      <w:r>
        <w:rPr>
          <w:rFonts w:hint="eastAsia" w:asciiTheme="minorEastAsia" w:hAnsiTheme="minorEastAsia" w:eastAsiaTheme="minorEastAsia"/>
          <w:sz w:val="24"/>
          <w:szCs w:val="24"/>
        </w:rPr>
        <w:t>“行真”</w:t>
      </w:r>
      <w:r>
        <w:rPr>
          <w:rFonts w:asciiTheme="minorEastAsia" w:hAnsiTheme="minorEastAsia" w:eastAsiaTheme="minorEastAsia"/>
          <w:sz w:val="24"/>
          <w:szCs w:val="24"/>
        </w:rPr>
        <w:t>精神贯穿于管理始终</w:t>
      </w:r>
      <w:r>
        <w:rPr>
          <w:rFonts w:hint="eastAsia" w:asciiTheme="minorEastAsia" w:hAnsiTheme="minorEastAsia" w:eastAsiaTheme="minorEastAsia"/>
          <w:sz w:val="24"/>
          <w:szCs w:val="24"/>
        </w:rPr>
        <w:t>，</w:t>
      </w:r>
      <w:r>
        <w:rPr>
          <w:rFonts w:asciiTheme="minorEastAsia" w:hAnsiTheme="minorEastAsia" w:eastAsiaTheme="minorEastAsia"/>
          <w:sz w:val="24"/>
          <w:szCs w:val="24"/>
        </w:rPr>
        <w:t>从学校的发展规划</w:t>
      </w:r>
      <w:r>
        <w:rPr>
          <w:rFonts w:hint="eastAsia" w:asciiTheme="minorEastAsia" w:hAnsiTheme="minorEastAsia" w:eastAsiaTheme="minorEastAsia"/>
          <w:sz w:val="24"/>
          <w:szCs w:val="24"/>
        </w:rPr>
        <w:t>、</w:t>
      </w:r>
      <w:r>
        <w:rPr>
          <w:rFonts w:asciiTheme="minorEastAsia" w:hAnsiTheme="minorEastAsia" w:eastAsiaTheme="minorEastAsia"/>
          <w:sz w:val="24"/>
          <w:szCs w:val="24"/>
        </w:rPr>
        <w:t>教育教学管理</w:t>
      </w:r>
      <w:r>
        <w:rPr>
          <w:rFonts w:hint="eastAsia" w:asciiTheme="minorEastAsia" w:hAnsiTheme="minorEastAsia" w:eastAsiaTheme="minorEastAsia"/>
          <w:sz w:val="24"/>
          <w:szCs w:val="24"/>
        </w:rPr>
        <w:t>、</w:t>
      </w:r>
      <w:r>
        <w:rPr>
          <w:rFonts w:asciiTheme="minorEastAsia" w:hAnsiTheme="minorEastAsia" w:eastAsiaTheme="minorEastAsia"/>
          <w:sz w:val="24"/>
          <w:szCs w:val="24"/>
        </w:rPr>
        <w:t>示范校建设等都以实事求是的态度去实施，注重现状分析，评价量化，做到具体化和精细化的管理。三是</w:t>
      </w:r>
      <w:r>
        <w:rPr>
          <w:rFonts w:hint="eastAsia" w:asciiTheme="minorEastAsia" w:hAnsiTheme="minorEastAsia" w:eastAsiaTheme="minorEastAsia"/>
          <w:sz w:val="24"/>
          <w:szCs w:val="24"/>
        </w:rPr>
        <w:t>“</w:t>
      </w:r>
      <w:r>
        <w:rPr>
          <w:rFonts w:asciiTheme="minorEastAsia" w:hAnsiTheme="minorEastAsia" w:eastAsiaTheme="minorEastAsia"/>
          <w:sz w:val="24"/>
          <w:szCs w:val="24"/>
        </w:rPr>
        <w:t>行</w:t>
      </w:r>
      <w:r>
        <w:rPr>
          <w:rFonts w:hint="eastAsia" w:asciiTheme="minorEastAsia" w:hAnsiTheme="minorEastAsia" w:eastAsiaTheme="minorEastAsia"/>
          <w:sz w:val="24"/>
          <w:szCs w:val="24"/>
        </w:rPr>
        <w:t>真”</w:t>
      </w:r>
      <w:r>
        <w:rPr>
          <w:rFonts w:asciiTheme="minorEastAsia" w:hAnsiTheme="minorEastAsia" w:eastAsiaTheme="minorEastAsia"/>
          <w:sz w:val="24"/>
          <w:szCs w:val="24"/>
        </w:rPr>
        <w:t>精神体现在每天的管理中，</w:t>
      </w:r>
      <w:r>
        <w:rPr>
          <w:rFonts w:hint="eastAsia" w:asciiTheme="minorEastAsia" w:hAnsiTheme="minorEastAsia" w:eastAsiaTheme="minorEastAsia"/>
          <w:sz w:val="24"/>
          <w:szCs w:val="24"/>
        </w:rPr>
        <w:t>做</w:t>
      </w:r>
      <w:r>
        <w:rPr>
          <w:rFonts w:asciiTheme="minorEastAsia" w:hAnsiTheme="minorEastAsia" w:eastAsiaTheme="minorEastAsia"/>
          <w:sz w:val="24"/>
          <w:szCs w:val="24"/>
        </w:rPr>
        <w:t>到每项工作从计划</w:t>
      </w:r>
      <w:r>
        <w:rPr>
          <w:rFonts w:hint="eastAsia" w:asciiTheme="minorEastAsia" w:hAnsiTheme="minorEastAsia" w:eastAsiaTheme="minorEastAsia"/>
          <w:sz w:val="24"/>
          <w:szCs w:val="24"/>
        </w:rPr>
        <w:t>、</w:t>
      </w:r>
      <w:r>
        <w:rPr>
          <w:rFonts w:asciiTheme="minorEastAsia" w:hAnsiTheme="minorEastAsia" w:eastAsiaTheme="minorEastAsia"/>
          <w:sz w:val="24"/>
          <w:szCs w:val="24"/>
        </w:rPr>
        <w:t>实施</w:t>
      </w:r>
      <w:r>
        <w:rPr>
          <w:rFonts w:hint="eastAsia" w:asciiTheme="minorEastAsia" w:hAnsiTheme="minorEastAsia" w:eastAsiaTheme="minorEastAsia"/>
          <w:sz w:val="24"/>
          <w:szCs w:val="24"/>
        </w:rPr>
        <w:t>，</w:t>
      </w:r>
      <w:r>
        <w:rPr>
          <w:rFonts w:asciiTheme="minorEastAsia" w:hAnsiTheme="minorEastAsia" w:eastAsiaTheme="minorEastAsia"/>
          <w:sz w:val="24"/>
          <w:szCs w:val="24"/>
        </w:rPr>
        <w:t>每天的常规等做到具体</w:t>
      </w:r>
      <w:r>
        <w:rPr>
          <w:rFonts w:hint="eastAsia" w:asciiTheme="minorEastAsia" w:hAnsiTheme="minorEastAsia" w:eastAsiaTheme="minorEastAsia"/>
          <w:sz w:val="24"/>
          <w:szCs w:val="24"/>
        </w:rPr>
        <w:t>、</w:t>
      </w:r>
      <w:r>
        <w:rPr>
          <w:rFonts w:asciiTheme="minorEastAsia" w:hAnsiTheme="minorEastAsia" w:eastAsiaTheme="minorEastAsia"/>
          <w:sz w:val="24"/>
          <w:szCs w:val="24"/>
        </w:rPr>
        <w:t>落实，以追求高标准，高质量为目标。</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⑶</w:t>
      </w:r>
      <w:r>
        <w:rPr>
          <w:rFonts w:asciiTheme="minorEastAsia" w:hAnsiTheme="minorEastAsia" w:eastAsiaTheme="minorEastAsia"/>
          <w:sz w:val="24"/>
          <w:szCs w:val="24"/>
        </w:rPr>
        <w:t>坚持</w:t>
      </w:r>
      <w:r>
        <w:rPr>
          <w:rFonts w:hint="eastAsia" w:asciiTheme="minorEastAsia" w:hAnsiTheme="minorEastAsia" w:eastAsiaTheme="minorEastAsia"/>
          <w:sz w:val="24"/>
          <w:szCs w:val="24"/>
        </w:rPr>
        <w:t>“</w:t>
      </w:r>
      <w:r>
        <w:rPr>
          <w:rFonts w:asciiTheme="minorEastAsia" w:hAnsiTheme="minorEastAsia" w:eastAsiaTheme="minorEastAsia"/>
          <w:sz w:val="24"/>
          <w:szCs w:val="24"/>
        </w:rPr>
        <w:t>行</w:t>
      </w:r>
      <w:r>
        <w:rPr>
          <w:rFonts w:hint="eastAsia" w:asciiTheme="minorEastAsia" w:hAnsiTheme="minorEastAsia" w:eastAsiaTheme="minorEastAsia"/>
          <w:sz w:val="24"/>
          <w:szCs w:val="24"/>
        </w:rPr>
        <w:t>真”</w:t>
      </w:r>
      <w:r>
        <w:rPr>
          <w:rFonts w:asciiTheme="minorEastAsia" w:hAnsiTheme="minorEastAsia" w:eastAsiaTheme="minorEastAsia"/>
          <w:sz w:val="24"/>
          <w:szCs w:val="24"/>
        </w:rPr>
        <w:t>教育教学观念</w:t>
      </w:r>
      <w:r>
        <w:rPr>
          <w:rFonts w:hint="eastAsia" w:asciiTheme="minorEastAsia" w:hAnsiTheme="minorEastAsia" w:eastAsiaTheme="minorEastAsia"/>
          <w:sz w:val="24"/>
          <w:szCs w:val="24"/>
        </w:rPr>
        <w:t>。</w:t>
      </w:r>
      <w:r>
        <w:rPr>
          <w:rFonts w:asciiTheme="minorEastAsia" w:hAnsiTheme="minorEastAsia" w:eastAsiaTheme="minorEastAsia"/>
          <w:sz w:val="24"/>
          <w:szCs w:val="24"/>
        </w:rPr>
        <w:t>坚持以班级细胞为基础的真教育管理</w:t>
      </w:r>
      <w:r>
        <w:rPr>
          <w:rFonts w:hint="eastAsia" w:asciiTheme="minorEastAsia" w:hAnsiTheme="minorEastAsia" w:eastAsiaTheme="minorEastAsia"/>
          <w:sz w:val="24"/>
          <w:szCs w:val="24"/>
        </w:rPr>
        <w:t>，</w:t>
      </w:r>
      <w:r>
        <w:rPr>
          <w:rFonts w:asciiTheme="minorEastAsia" w:hAnsiTheme="minorEastAsia" w:eastAsiaTheme="minorEastAsia"/>
          <w:sz w:val="24"/>
          <w:szCs w:val="24"/>
        </w:rPr>
        <w:t>重点是学生前途理想教育</w:t>
      </w:r>
      <w:r>
        <w:rPr>
          <w:rFonts w:hint="eastAsia" w:asciiTheme="minorEastAsia" w:hAnsiTheme="minorEastAsia" w:eastAsiaTheme="minorEastAsia"/>
          <w:sz w:val="24"/>
          <w:szCs w:val="24"/>
        </w:rPr>
        <w:t>、</w:t>
      </w:r>
      <w:r>
        <w:rPr>
          <w:rFonts w:asciiTheme="minorEastAsia" w:hAnsiTheme="minorEastAsia" w:eastAsiaTheme="minorEastAsia"/>
          <w:sz w:val="24"/>
          <w:szCs w:val="24"/>
        </w:rPr>
        <w:t>行为习惯养成教育</w:t>
      </w:r>
      <w:r>
        <w:rPr>
          <w:rFonts w:hint="eastAsia" w:asciiTheme="minorEastAsia" w:hAnsiTheme="minorEastAsia" w:eastAsiaTheme="minorEastAsia"/>
          <w:sz w:val="24"/>
          <w:szCs w:val="24"/>
        </w:rPr>
        <w:t>、</w:t>
      </w:r>
      <w:r>
        <w:rPr>
          <w:rFonts w:asciiTheme="minorEastAsia" w:hAnsiTheme="minorEastAsia" w:eastAsiaTheme="minorEastAsia"/>
          <w:sz w:val="24"/>
          <w:szCs w:val="24"/>
        </w:rPr>
        <w:t>爱国主义</w:t>
      </w:r>
      <w:r>
        <w:rPr>
          <w:rFonts w:hint="eastAsia" w:asciiTheme="minorEastAsia" w:hAnsiTheme="minorEastAsia" w:eastAsiaTheme="minorEastAsia"/>
          <w:sz w:val="24"/>
          <w:szCs w:val="24"/>
        </w:rPr>
        <w:t>、</w:t>
      </w:r>
      <w:r>
        <w:rPr>
          <w:rFonts w:asciiTheme="minorEastAsia" w:hAnsiTheme="minorEastAsia" w:eastAsiaTheme="minorEastAsia"/>
          <w:sz w:val="24"/>
          <w:szCs w:val="24"/>
        </w:rPr>
        <w:t>核心价值观</w:t>
      </w:r>
      <w:r>
        <w:rPr>
          <w:rFonts w:hint="eastAsia" w:asciiTheme="minorEastAsia" w:hAnsiTheme="minorEastAsia" w:eastAsiaTheme="minorEastAsia"/>
          <w:sz w:val="24"/>
          <w:szCs w:val="24"/>
        </w:rPr>
        <w:t>、</w:t>
      </w:r>
      <w:r>
        <w:rPr>
          <w:rFonts w:asciiTheme="minorEastAsia" w:hAnsiTheme="minorEastAsia" w:eastAsiaTheme="minorEastAsia"/>
          <w:sz w:val="24"/>
          <w:szCs w:val="24"/>
        </w:rPr>
        <w:t>传统美德教育。做到全校每个班无</w:t>
      </w:r>
      <w:r>
        <w:rPr>
          <w:rFonts w:hint="eastAsia" w:asciiTheme="minorEastAsia" w:hAnsiTheme="minorEastAsia" w:eastAsiaTheme="minorEastAsia"/>
          <w:sz w:val="24"/>
          <w:szCs w:val="24"/>
        </w:rPr>
        <w:t>一</w:t>
      </w:r>
      <w:r>
        <w:rPr>
          <w:rFonts w:asciiTheme="minorEastAsia" w:hAnsiTheme="minorEastAsia" w:eastAsiaTheme="minorEastAsia"/>
          <w:sz w:val="24"/>
          <w:szCs w:val="24"/>
        </w:rPr>
        <w:t>差班</w:t>
      </w:r>
      <w:r>
        <w:rPr>
          <w:rFonts w:hint="eastAsia" w:asciiTheme="minorEastAsia" w:hAnsiTheme="minorEastAsia" w:eastAsiaTheme="minorEastAsia"/>
          <w:sz w:val="24"/>
          <w:szCs w:val="24"/>
        </w:rPr>
        <w:t>。</w:t>
      </w:r>
      <w:r>
        <w:rPr>
          <w:rFonts w:asciiTheme="minorEastAsia" w:hAnsiTheme="minorEastAsia" w:eastAsiaTheme="minorEastAsia"/>
          <w:sz w:val="24"/>
          <w:szCs w:val="24"/>
        </w:rPr>
        <w:t>坚持课堂规范下的教学质量提升，以教学过程管理为基础</w:t>
      </w:r>
      <w:r>
        <w:rPr>
          <w:rFonts w:hint="eastAsia" w:asciiTheme="minorEastAsia" w:hAnsiTheme="minorEastAsia" w:eastAsiaTheme="minorEastAsia"/>
          <w:sz w:val="24"/>
          <w:szCs w:val="24"/>
        </w:rPr>
        <w:t>，</w:t>
      </w:r>
      <w:r>
        <w:rPr>
          <w:rFonts w:asciiTheme="minorEastAsia" w:hAnsiTheme="minorEastAsia" w:eastAsiaTheme="minorEastAsia"/>
          <w:sz w:val="24"/>
          <w:szCs w:val="24"/>
        </w:rPr>
        <w:t>强化教学效果的考核。</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⑷</w:t>
      </w:r>
      <w:r>
        <w:rPr>
          <w:rFonts w:asciiTheme="minorEastAsia" w:hAnsiTheme="minorEastAsia" w:eastAsiaTheme="minorEastAsia"/>
          <w:sz w:val="24"/>
          <w:szCs w:val="24"/>
        </w:rPr>
        <w:t>实行</w:t>
      </w:r>
      <w:r>
        <w:rPr>
          <w:rFonts w:hint="eastAsia" w:asciiTheme="minorEastAsia" w:hAnsiTheme="minorEastAsia" w:eastAsiaTheme="minorEastAsia"/>
          <w:sz w:val="24"/>
          <w:szCs w:val="24"/>
        </w:rPr>
        <w:t>“</w:t>
      </w:r>
      <w:r>
        <w:rPr>
          <w:rFonts w:asciiTheme="minorEastAsia" w:hAnsiTheme="minorEastAsia" w:eastAsiaTheme="minorEastAsia"/>
          <w:sz w:val="24"/>
          <w:szCs w:val="24"/>
        </w:rPr>
        <w:t>行</w:t>
      </w:r>
      <w:r>
        <w:rPr>
          <w:rFonts w:hint="eastAsia" w:asciiTheme="minorEastAsia" w:hAnsiTheme="minorEastAsia" w:eastAsiaTheme="minorEastAsia"/>
          <w:sz w:val="24"/>
          <w:szCs w:val="24"/>
        </w:rPr>
        <w:t>真”</w:t>
      </w:r>
      <w:r>
        <w:rPr>
          <w:rFonts w:asciiTheme="minorEastAsia" w:hAnsiTheme="minorEastAsia" w:eastAsiaTheme="minorEastAsia"/>
          <w:sz w:val="24"/>
          <w:szCs w:val="24"/>
        </w:rPr>
        <w:t>学习的观念</w:t>
      </w:r>
      <w:r>
        <w:rPr>
          <w:rFonts w:hint="eastAsia" w:asciiTheme="minorEastAsia" w:hAnsiTheme="minorEastAsia" w:eastAsiaTheme="minorEastAsia"/>
          <w:sz w:val="24"/>
          <w:szCs w:val="24"/>
        </w:rPr>
        <w:t>。“行真”的</w:t>
      </w:r>
      <w:r>
        <w:rPr>
          <w:rFonts w:asciiTheme="minorEastAsia" w:hAnsiTheme="minorEastAsia" w:eastAsiaTheme="minorEastAsia"/>
          <w:sz w:val="24"/>
          <w:szCs w:val="24"/>
        </w:rPr>
        <w:t>观念根植于学生思想之中，在学校认真修身立德，认真学习文化基础</w:t>
      </w:r>
      <w:r>
        <w:rPr>
          <w:rFonts w:hint="eastAsia" w:asciiTheme="minorEastAsia" w:hAnsiTheme="minorEastAsia" w:eastAsiaTheme="minorEastAsia"/>
          <w:sz w:val="24"/>
          <w:szCs w:val="24"/>
        </w:rPr>
        <w:t>、</w:t>
      </w:r>
      <w:r>
        <w:rPr>
          <w:rFonts w:asciiTheme="minorEastAsia" w:hAnsiTheme="minorEastAsia" w:eastAsiaTheme="minorEastAsia"/>
          <w:sz w:val="24"/>
          <w:szCs w:val="24"/>
        </w:rPr>
        <w:t>专业技能</w:t>
      </w:r>
      <w:r>
        <w:rPr>
          <w:rFonts w:hint="eastAsia" w:asciiTheme="minorEastAsia" w:hAnsiTheme="minorEastAsia" w:eastAsiaTheme="minorEastAsia"/>
          <w:sz w:val="24"/>
          <w:szCs w:val="24"/>
        </w:rPr>
        <w:t>，</w:t>
      </w:r>
      <w:r>
        <w:rPr>
          <w:rFonts w:asciiTheme="minorEastAsia" w:hAnsiTheme="minorEastAsia" w:eastAsiaTheme="minorEastAsia"/>
          <w:sz w:val="24"/>
          <w:szCs w:val="24"/>
        </w:rPr>
        <w:t>踏上社会，把求真务实的作风传承到今后的事业发展之中。</w:t>
      </w:r>
    </w:p>
    <w:p>
      <w:pPr>
        <w:spacing w:before="156" w:beforeLines="50" w:line="360" w:lineRule="auto"/>
        <w:ind w:firstLine="562" w:firstLineChars="200"/>
        <w:rPr>
          <w:b/>
          <w:sz w:val="28"/>
          <w:szCs w:val="28"/>
        </w:rPr>
      </w:pPr>
      <w:r>
        <w:rPr>
          <w:rFonts w:hint="eastAsia"/>
          <w:b/>
          <w:sz w:val="28"/>
          <w:szCs w:val="28"/>
        </w:rPr>
        <w:t>2.“</w:t>
      </w:r>
      <w:r>
        <w:rPr>
          <w:b/>
          <w:sz w:val="28"/>
          <w:szCs w:val="28"/>
        </w:rPr>
        <w:t>行</w:t>
      </w:r>
      <w:r>
        <w:rPr>
          <w:rFonts w:hint="eastAsia"/>
          <w:b/>
          <w:sz w:val="28"/>
          <w:szCs w:val="28"/>
        </w:rPr>
        <w:t>真”</w:t>
      </w:r>
      <w:r>
        <w:rPr>
          <w:b/>
          <w:sz w:val="28"/>
          <w:szCs w:val="28"/>
        </w:rPr>
        <w:t>职教</w:t>
      </w:r>
      <w:r>
        <w:rPr>
          <w:rFonts w:hint="eastAsia"/>
          <w:b/>
          <w:sz w:val="28"/>
          <w:szCs w:val="28"/>
        </w:rPr>
        <w:t>文化</w:t>
      </w:r>
      <w:r>
        <w:rPr>
          <w:b/>
          <w:sz w:val="28"/>
          <w:szCs w:val="28"/>
        </w:rPr>
        <w:t>环境建设</w:t>
      </w:r>
    </w:p>
    <w:p>
      <w:pPr>
        <w:spacing w:before="156" w:beforeLines="50" w:line="360" w:lineRule="auto"/>
        <w:ind w:firstLine="484" w:firstLineChars="202"/>
        <w:rPr>
          <w:rFonts w:asciiTheme="minorEastAsia" w:hAnsiTheme="minorEastAsia" w:eastAsiaTheme="minorEastAsia"/>
          <w:sz w:val="24"/>
          <w:szCs w:val="24"/>
        </w:rPr>
      </w:pPr>
      <w:r>
        <w:rPr>
          <w:rFonts w:asciiTheme="minorEastAsia" w:hAnsiTheme="minorEastAsia" w:eastAsiaTheme="minorEastAsia"/>
          <w:sz w:val="24"/>
          <w:szCs w:val="24"/>
        </w:rPr>
        <w:t>通过</w:t>
      </w:r>
      <w:r>
        <w:rPr>
          <w:rFonts w:hint="eastAsia" w:asciiTheme="minorEastAsia" w:hAnsiTheme="minorEastAsia" w:eastAsiaTheme="minorEastAsia"/>
          <w:sz w:val="24"/>
          <w:szCs w:val="24"/>
        </w:rPr>
        <w:t>“</w:t>
      </w:r>
      <w:r>
        <w:rPr>
          <w:rFonts w:asciiTheme="minorEastAsia" w:hAnsiTheme="minorEastAsia" w:eastAsiaTheme="minorEastAsia"/>
          <w:sz w:val="24"/>
          <w:szCs w:val="24"/>
        </w:rPr>
        <w:t>行</w:t>
      </w:r>
      <w:r>
        <w:rPr>
          <w:rFonts w:hint="eastAsia" w:asciiTheme="minorEastAsia" w:hAnsiTheme="minorEastAsia" w:eastAsiaTheme="minorEastAsia"/>
          <w:sz w:val="24"/>
          <w:szCs w:val="24"/>
        </w:rPr>
        <w:t>真”</w:t>
      </w:r>
      <w:r>
        <w:rPr>
          <w:rFonts w:asciiTheme="minorEastAsia" w:hAnsiTheme="minorEastAsia" w:eastAsiaTheme="minorEastAsia"/>
          <w:sz w:val="24"/>
          <w:szCs w:val="24"/>
        </w:rPr>
        <w:t>职教环境建设，充分融入学校的办学理念</w:t>
      </w:r>
      <w:r>
        <w:rPr>
          <w:rFonts w:hint="eastAsia" w:asciiTheme="minorEastAsia" w:hAnsiTheme="minorEastAsia" w:eastAsiaTheme="minorEastAsia"/>
          <w:sz w:val="24"/>
          <w:szCs w:val="24"/>
        </w:rPr>
        <w:t>、</w:t>
      </w:r>
      <w:r>
        <w:rPr>
          <w:rFonts w:asciiTheme="minorEastAsia" w:hAnsiTheme="minorEastAsia" w:eastAsiaTheme="minorEastAsia"/>
          <w:sz w:val="24"/>
          <w:szCs w:val="24"/>
        </w:rPr>
        <w:t>办学特色，使师生在良好的环境中长期熏陶，不断修正自己的行为，并将高尚的道德价值观内化为自身的品质。</w:t>
      </w:r>
    </w:p>
    <w:p>
      <w:pPr>
        <w:spacing w:before="156" w:beforeLines="50" w:line="360" w:lineRule="auto"/>
        <w:ind w:firstLine="484" w:firstLineChars="202"/>
        <w:rPr>
          <w:rFonts w:asciiTheme="minorEastAsia" w:hAnsiTheme="minorEastAsia" w:eastAsiaTheme="minorEastAsia"/>
          <w:sz w:val="24"/>
          <w:szCs w:val="24"/>
        </w:rPr>
      </w:pPr>
      <w:r>
        <w:rPr>
          <w:rFonts w:asciiTheme="minorEastAsia" w:hAnsiTheme="minorEastAsia" w:eastAsiaTheme="minorEastAsia"/>
          <w:sz w:val="24"/>
          <w:szCs w:val="24"/>
        </w:rPr>
        <w:t>按照真</w:t>
      </w:r>
      <w:r>
        <w:rPr>
          <w:rFonts w:hint="eastAsia" w:asciiTheme="minorEastAsia" w:hAnsiTheme="minorEastAsia" w:eastAsiaTheme="minorEastAsia"/>
          <w:sz w:val="24"/>
          <w:szCs w:val="24"/>
        </w:rPr>
        <w:t>为</w:t>
      </w:r>
      <w:r>
        <w:rPr>
          <w:rFonts w:asciiTheme="minorEastAsia" w:hAnsiTheme="minorEastAsia" w:eastAsiaTheme="minorEastAsia"/>
          <w:sz w:val="24"/>
          <w:szCs w:val="24"/>
        </w:rPr>
        <w:t>统领</w:t>
      </w:r>
      <w:r>
        <w:rPr>
          <w:rFonts w:hint="eastAsia" w:asciiTheme="minorEastAsia" w:hAnsiTheme="minorEastAsia" w:eastAsiaTheme="minorEastAsia"/>
          <w:sz w:val="24"/>
          <w:szCs w:val="24"/>
        </w:rPr>
        <w:t>，</w:t>
      </w:r>
      <w:r>
        <w:rPr>
          <w:rFonts w:asciiTheme="minorEastAsia" w:hAnsiTheme="minorEastAsia" w:eastAsiaTheme="minorEastAsia"/>
          <w:sz w:val="24"/>
          <w:szCs w:val="24"/>
        </w:rPr>
        <w:t>分区设计的思路</w:t>
      </w:r>
      <w:r>
        <w:rPr>
          <w:rFonts w:hint="eastAsia" w:asciiTheme="minorEastAsia" w:hAnsiTheme="minorEastAsia" w:eastAsiaTheme="minorEastAsia"/>
          <w:sz w:val="24"/>
          <w:szCs w:val="24"/>
        </w:rPr>
        <w:t>，</w:t>
      </w:r>
      <w:r>
        <w:rPr>
          <w:rFonts w:asciiTheme="minorEastAsia" w:hAnsiTheme="minorEastAsia" w:eastAsiaTheme="minorEastAsia"/>
          <w:sz w:val="24"/>
          <w:szCs w:val="24"/>
        </w:rPr>
        <w:t>让校园视觉文化与精神文化统一和谐。</w:t>
      </w:r>
      <w:r>
        <w:rPr>
          <w:rFonts w:hint="eastAsia" w:asciiTheme="minorEastAsia" w:hAnsiTheme="minorEastAsia" w:eastAsiaTheme="minorEastAsia"/>
          <w:sz w:val="24"/>
          <w:szCs w:val="24"/>
        </w:rPr>
        <w:t>校</w:t>
      </w:r>
      <w:r>
        <w:rPr>
          <w:rFonts w:asciiTheme="minorEastAsia" w:hAnsiTheme="minorEastAsia" w:eastAsiaTheme="minorEastAsia"/>
          <w:sz w:val="24"/>
          <w:szCs w:val="24"/>
        </w:rPr>
        <w:t>门区域</w:t>
      </w:r>
      <w:r>
        <w:rPr>
          <w:rFonts w:hint="eastAsia" w:asciiTheme="minorEastAsia" w:hAnsiTheme="minorEastAsia" w:eastAsiaTheme="minorEastAsia"/>
          <w:sz w:val="24"/>
          <w:szCs w:val="24"/>
        </w:rPr>
        <w:t>以“源真”</w:t>
      </w:r>
      <w:r>
        <w:rPr>
          <w:rFonts w:asciiTheme="minorEastAsia" w:hAnsiTheme="minorEastAsia" w:eastAsiaTheme="minorEastAsia"/>
          <w:sz w:val="24"/>
          <w:szCs w:val="24"/>
        </w:rPr>
        <w:t>为主题，</w:t>
      </w:r>
      <w:r>
        <w:rPr>
          <w:rFonts w:hint="eastAsia" w:asciiTheme="minorEastAsia" w:hAnsiTheme="minorEastAsia" w:eastAsiaTheme="minorEastAsia"/>
          <w:sz w:val="24"/>
          <w:szCs w:val="24"/>
        </w:rPr>
        <w:t>主</w:t>
      </w:r>
      <w:r>
        <w:rPr>
          <w:rFonts w:asciiTheme="minorEastAsia" w:hAnsiTheme="minorEastAsia" w:eastAsiaTheme="minorEastAsia"/>
          <w:sz w:val="24"/>
          <w:szCs w:val="24"/>
        </w:rPr>
        <w:t>体内容为</w:t>
      </w:r>
      <w:r>
        <w:rPr>
          <w:rFonts w:hint="eastAsia" w:asciiTheme="minorEastAsia" w:hAnsiTheme="minorEastAsia" w:eastAsiaTheme="minorEastAsia"/>
          <w:sz w:val="24"/>
          <w:szCs w:val="24"/>
        </w:rPr>
        <w:t>“</w:t>
      </w:r>
      <w:r>
        <w:rPr>
          <w:rFonts w:asciiTheme="minorEastAsia" w:hAnsiTheme="minorEastAsia" w:eastAsiaTheme="minorEastAsia"/>
          <w:sz w:val="24"/>
          <w:szCs w:val="24"/>
        </w:rPr>
        <w:t>三贤</w:t>
      </w:r>
      <w:r>
        <w:rPr>
          <w:rFonts w:hint="eastAsia" w:asciiTheme="minorEastAsia" w:hAnsiTheme="minorEastAsia" w:eastAsiaTheme="minorEastAsia"/>
          <w:sz w:val="24"/>
          <w:szCs w:val="24"/>
        </w:rPr>
        <w:t>”</w:t>
      </w:r>
      <w:r>
        <w:rPr>
          <w:rFonts w:asciiTheme="minorEastAsia" w:hAnsiTheme="minorEastAsia" w:eastAsiaTheme="minorEastAsia"/>
          <w:sz w:val="24"/>
          <w:szCs w:val="24"/>
        </w:rPr>
        <w:t>文化</w:t>
      </w:r>
      <w:r>
        <w:rPr>
          <w:rFonts w:hint="eastAsia" w:asciiTheme="minorEastAsia" w:hAnsiTheme="minorEastAsia" w:eastAsiaTheme="minorEastAsia"/>
          <w:sz w:val="24"/>
          <w:szCs w:val="24"/>
        </w:rPr>
        <w:t>；廊架</w:t>
      </w:r>
      <w:r>
        <w:rPr>
          <w:rFonts w:asciiTheme="minorEastAsia" w:hAnsiTheme="minorEastAsia" w:eastAsiaTheme="minorEastAsia"/>
          <w:sz w:val="24"/>
          <w:szCs w:val="24"/>
        </w:rPr>
        <w:t>区域以</w:t>
      </w:r>
      <w:r>
        <w:rPr>
          <w:rFonts w:hint="eastAsia" w:asciiTheme="minorEastAsia" w:hAnsiTheme="minorEastAsia" w:eastAsiaTheme="minorEastAsia"/>
          <w:sz w:val="24"/>
          <w:szCs w:val="24"/>
        </w:rPr>
        <w:t>“明真”</w:t>
      </w:r>
      <w:r>
        <w:rPr>
          <w:rFonts w:asciiTheme="minorEastAsia" w:hAnsiTheme="minorEastAsia" w:eastAsiaTheme="minorEastAsia"/>
          <w:sz w:val="24"/>
          <w:szCs w:val="24"/>
        </w:rPr>
        <w:t>为主题，主</w:t>
      </w:r>
      <w:r>
        <w:rPr>
          <w:rFonts w:hint="eastAsia" w:asciiTheme="minorEastAsia" w:hAnsiTheme="minorEastAsia" w:eastAsiaTheme="minorEastAsia"/>
          <w:sz w:val="24"/>
          <w:szCs w:val="24"/>
        </w:rPr>
        <w:t>体</w:t>
      </w:r>
      <w:r>
        <w:rPr>
          <w:rFonts w:asciiTheme="minorEastAsia" w:hAnsiTheme="minorEastAsia" w:eastAsiaTheme="minorEastAsia"/>
          <w:sz w:val="24"/>
          <w:szCs w:val="24"/>
        </w:rPr>
        <w:t>内容为陶行知</w:t>
      </w:r>
      <w:r>
        <w:rPr>
          <w:rFonts w:hint="eastAsia" w:asciiTheme="minorEastAsia" w:hAnsiTheme="minorEastAsia" w:eastAsiaTheme="minorEastAsia"/>
          <w:sz w:val="24"/>
          <w:szCs w:val="24"/>
        </w:rPr>
        <w:t>、</w:t>
      </w:r>
      <w:r>
        <w:rPr>
          <w:rFonts w:asciiTheme="minorEastAsia" w:hAnsiTheme="minorEastAsia" w:eastAsiaTheme="minorEastAsia"/>
          <w:sz w:val="24"/>
          <w:szCs w:val="24"/>
        </w:rPr>
        <w:t>黄炎培等</w:t>
      </w:r>
      <w:r>
        <w:rPr>
          <w:rFonts w:hint="eastAsia" w:asciiTheme="minorEastAsia" w:hAnsiTheme="minorEastAsia" w:eastAsiaTheme="minorEastAsia"/>
          <w:sz w:val="24"/>
          <w:szCs w:val="24"/>
        </w:rPr>
        <w:t>先贤</w:t>
      </w:r>
      <w:r>
        <w:rPr>
          <w:rFonts w:asciiTheme="minorEastAsia" w:hAnsiTheme="minorEastAsia" w:eastAsiaTheme="minorEastAsia"/>
          <w:sz w:val="24"/>
          <w:szCs w:val="24"/>
        </w:rPr>
        <w:t>求真文化</w:t>
      </w:r>
      <w:r>
        <w:rPr>
          <w:rFonts w:hint="eastAsia" w:asciiTheme="minorEastAsia" w:hAnsiTheme="minorEastAsia" w:eastAsiaTheme="minorEastAsia"/>
          <w:sz w:val="24"/>
          <w:szCs w:val="24"/>
        </w:rPr>
        <w:t>；</w:t>
      </w:r>
      <w:r>
        <w:rPr>
          <w:rFonts w:asciiTheme="minorEastAsia" w:hAnsiTheme="minorEastAsia" w:eastAsiaTheme="minorEastAsia"/>
          <w:sz w:val="24"/>
          <w:szCs w:val="24"/>
        </w:rPr>
        <w:t>教学区域以</w:t>
      </w:r>
      <w:r>
        <w:rPr>
          <w:rFonts w:hint="eastAsia" w:asciiTheme="minorEastAsia" w:hAnsiTheme="minorEastAsia" w:eastAsiaTheme="minorEastAsia"/>
          <w:sz w:val="24"/>
          <w:szCs w:val="24"/>
        </w:rPr>
        <w:t>“</w:t>
      </w:r>
      <w:r>
        <w:rPr>
          <w:rFonts w:asciiTheme="minorEastAsia" w:hAnsiTheme="minorEastAsia" w:eastAsiaTheme="minorEastAsia"/>
          <w:sz w:val="24"/>
          <w:szCs w:val="24"/>
        </w:rPr>
        <w:t>求真</w:t>
      </w:r>
      <w:r>
        <w:rPr>
          <w:rFonts w:hint="eastAsia" w:asciiTheme="minorEastAsia" w:hAnsiTheme="minorEastAsia" w:eastAsiaTheme="minorEastAsia"/>
          <w:sz w:val="24"/>
          <w:szCs w:val="24"/>
        </w:rPr>
        <w:t>”</w:t>
      </w:r>
      <w:r>
        <w:rPr>
          <w:rFonts w:asciiTheme="minorEastAsia" w:hAnsiTheme="minorEastAsia" w:eastAsiaTheme="minorEastAsia"/>
          <w:sz w:val="24"/>
          <w:szCs w:val="24"/>
        </w:rPr>
        <w:t>为主题，主体内容是</w:t>
      </w:r>
      <w:r>
        <w:rPr>
          <w:rFonts w:hint="eastAsia" w:asciiTheme="minorEastAsia" w:hAnsiTheme="minorEastAsia" w:eastAsiaTheme="minorEastAsia"/>
          <w:sz w:val="24"/>
          <w:szCs w:val="24"/>
        </w:rPr>
        <w:t>立德</w:t>
      </w:r>
      <w:r>
        <w:rPr>
          <w:rFonts w:asciiTheme="minorEastAsia" w:hAnsiTheme="minorEastAsia" w:eastAsiaTheme="minorEastAsia"/>
          <w:sz w:val="24"/>
          <w:szCs w:val="24"/>
        </w:rPr>
        <w:t>树人</w:t>
      </w:r>
      <w:r>
        <w:rPr>
          <w:rFonts w:hint="eastAsia" w:asciiTheme="minorEastAsia" w:hAnsiTheme="minorEastAsia" w:eastAsiaTheme="minorEastAsia"/>
          <w:sz w:val="24"/>
          <w:szCs w:val="24"/>
        </w:rPr>
        <w:t>、</w:t>
      </w:r>
      <w:r>
        <w:rPr>
          <w:rFonts w:asciiTheme="minorEastAsia" w:hAnsiTheme="minorEastAsia" w:eastAsiaTheme="minorEastAsia"/>
          <w:sz w:val="24"/>
          <w:szCs w:val="24"/>
        </w:rPr>
        <w:t>理想前途教育文化</w:t>
      </w:r>
      <w:r>
        <w:rPr>
          <w:rFonts w:hint="eastAsia" w:asciiTheme="minorEastAsia" w:hAnsiTheme="minorEastAsia" w:eastAsiaTheme="minorEastAsia"/>
          <w:sz w:val="24"/>
          <w:szCs w:val="24"/>
        </w:rPr>
        <w:t>；实训</w:t>
      </w:r>
      <w:r>
        <w:rPr>
          <w:rFonts w:asciiTheme="minorEastAsia" w:hAnsiTheme="minorEastAsia" w:eastAsiaTheme="minorEastAsia"/>
          <w:sz w:val="24"/>
          <w:szCs w:val="24"/>
        </w:rPr>
        <w:t>区</w:t>
      </w:r>
      <w:r>
        <w:rPr>
          <w:rFonts w:hint="eastAsia" w:asciiTheme="minorEastAsia" w:hAnsiTheme="minorEastAsia" w:eastAsiaTheme="minorEastAsia"/>
          <w:sz w:val="24"/>
          <w:szCs w:val="24"/>
        </w:rPr>
        <w:t>以“为</w:t>
      </w:r>
      <w:r>
        <w:rPr>
          <w:rFonts w:asciiTheme="minorEastAsia" w:hAnsiTheme="minorEastAsia" w:eastAsiaTheme="minorEastAsia"/>
          <w:sz w:val="24"/>
          <w:szCs w:val="24"/>
        </w:rPr>
        <w:t>真</w:t>
      </w:r>
      <w:r>
        <w:rPr>
          <w:rFonts w:hint="eastAsia" w:asciiTheme="minorEastAsia" w:hAnsiTheme="minorEastAsia" w:eastAsiaTheme="minorEastAsia"/>
          <w:sz w:val="24"/>
          <w:szCs w:val="24"/>
        </w:rPr>
        <w:t>”</w:t>
      </w:r>
      <w:r>
        <w:rPr>
          <w:rFonts w:asciiTheme="minorEastAsia" w:hAnsiTheme="minorEastAsia" w:eastAsiaTheme="minorEastAsia"/>
          <w:sz w:val="24"/>
          <w:szCs w:val="24"/>
        </w:rPr>
        <w:t>为主题，主</w:t>
      </w:r>
      <w:r>
        <w:rPr>
          <w:rFonts w:hint="eastAsia" w:asciiTheme="minorEastAsia" w:hAnsiTheme="minorEastAsia" w:eastAsiaTheme="minorEastAsia"/>
          <w:sz w:val="24"/>
          <w:szCs w:val="24"/>
        </w:rPr>
        <w:t>体</w:t>
      </w:r>
      <w:r>
        <w:rPr>
          <w:rFonts w:asciiTheme="minorEastAsia" w:hAnsiTheme="minorEastAsia" w:eastAsiaTheme="minorEastAsia"/>
          <w:sz w:val="24"/>
          <w:szCs w:val="24"/>
        </w:rPr>
        <w:t>内容是大国工匠精神。</w:t>
      </w:r>
    </w:p>
    <w:p>
      <w:pPr>
        <w:spacing w:before="156" w:beforeLines="50" w:line="360" w:lineRule="auto"/>
        <w:ind w:firstLine="562" w:firstLineChars="200"/>
        <w:rPr>
          <w:rFonts w:hint="eastAsia"/>
          <w:b/>
          <w:sz w:val="28"/>
          <w:szCs w:val="28"/>
        </w:rPr>
      </w:pPr>
      <w:r>
        <w:rPr>
          <w:b/>
          <w:sz w:val="28"/>
          <w:szCs w:val="28"/>
        </w:rPr>
        <w:t>3</w:t>
      </w:r>
      <w:r>
        <w:rPr>
          <w:rFonts w:hint="eastAsia"/>
          <w:b/>
          <w:sz w:val="28"/>
          <w:szCs w:val="28"/>
        </w:rPr>
        <w:t>.</w:t>
      </w:r>
      <w:r>
        <w:rPr>
          <w:b/>
          <w:sz w:val="28"/>
          <w:szCs w:val="28"/>
        </w:rPr>
        <w:t>形成学生</w:t>
      </w:r>
      <w:r>
        <w:rPr>
          <w:rFonts w:hint="eastAsia"/>
          <w:b/>
          <w:sz w:val="28"/>
          <w:szCs w:val="28"/>
        </w:rPr>
        <w:t>高</w:t>
      </w:r>
      <w:r>
        <w:rPr>
          <w:b/>
          <w:sz w:val="28"/>
          <w:szCs w:val="28"/>
        </w:rPr>
        <w:t>素质</w:t>
      </w:r>
      <w:r>
        <w:rPr>
          <w:rFonts w:hint="eastAsia"/>
          <w:b/>
          <w:sz w:val="28"/>
          <w:szCs w:val="28"/>
        </w:rPr>
        <w:t>特长</w:t>
      </w:r>
      <w:r>
        <w:rPr>
          <w:b/>
          <w:sz w:val="28"/>
          <w:szCs w:val="28"/>
        </w:rPr>
        <w:t>的校园活动文化</w:t>
      </w:r>
    </w:p>
    <w:p>
      <w:pPr>
        <w:spacing w:before="156" w:beforeLines="50" w:line="360" w:lineRule="auto"/>
        <w:ind w:firstLine="484" w:firstLineChars="202"/>
        <w:rPr>
          <w:rFonts w:asciiTheme="minorEastAsia" w:hAnsiTheme="minorEastAsia" w:eastAsiaTheme="minorEastAsia"/>
          <w:sz w:val="24"/>
          <w:szCs w:val="24"/>
        </w:rPr>
      </w:pPr>
      <w:r>
        <w:rPr>
          <w:rFonts w:asciiTheme="minorEastAsia" w:hAnsiTheme="minorEastAsia" w:eastAsiaTheme="minorEastAsia"/>
          <w:sz w:val="24"/>
          <w:szCs w:val="24"/>
        </w:rPr>
        <w:t>成立</w:t>
      </w:r>
      <w:r>
        <w:rPr>
          <w:rFonts w:hint="eastAsia" w:asciiTheme="minorEastAsia" w:hAnsiTheme="minorEastAsia" w:eastAsiaTheme="minorEastAsia"/>
          <w:sz w:val="24"/>
          <w:szCs w:val="24"/>
        </w:rPr>
        <w:t>各类</w:t>
      </w:r>
      <w:r>
        <w:rPr>
          <w:rFonts w:asciiTheme="minorEastAsia" w:hAnsiTheme="minorEastAsia" w:eastAsiaTheme="minorEastAsia"/>
          <w:sz w:val="24"/>
          <w:szCs w:val="24"/>
        </w:rPr>
        <w:t>社团组织，组织技能竞赛活动</w:t>
      </w:r>
      <w:r>
        <w:rPr>
          <w:rFonts w:hint="eastAsia" w:asciiTheme="minorEastAsia" w:hAnsiTheme="minorEastAsia" w:eastAsiaTheme="minorEastAsia"/>
          <w:sz w:val="24"/>
          <w:szCs w:val="24"/>
        </w:rPr>
        <w:t>、</w:t>
      </w:r>
      <w:r>
        <w:rPr>
          <w:rFonts w:asciiTheme="minorEastAsia" w:hAnsiTheme="minorEastAsia" w:eastAsiaTheme="minorEastAsia"/>
          <w:sz w:val="24"/>
          <w:szCs w:val="24"/>
        </w:rPr>
        <w:t>重大节日庆典活动</w:t>
      </w:r>
      <w:r>
        <w:rPr>
          <w:rFonts w:hint="eastAsia" w:asciiTheme="minorEastAsia" w:hAnsiTheme="minorEastAsia" w:eastAsiaTheme="minorEastAsia"/>
          <w:sz w:val="24"/>
          <w:szCs w:val="24"/>
        </w:rPr>
        <w:t>、体育</w:t>
      </w:r>
      <w:r>
        <w:rPr>
          <w:rFonts w:asciiTheme="minorEastAsia" w:hAnsiTheme="minorEastAsia" w:eastAsiaTheme="minorEastAsia"/>
          <w:sz w:val="24"/>
          <w:szCs w:val="24"/>
        </w:rPr>
        <w:t>活动</w:t>
      </w:r>
      <w:r>
        <w:rPr>
          <w:rFonts w:hint="eastAsia" w:asciiTheme="minorEastAsia" w:hAnsiTheme="minorEastAsia" w:eastAsiaTheme="minorEastAsia"/>
          <w:sz w:val="24"/>
          <w:szCs w:val="24"/>
        </w:rPr>
        <w:t>、</w:t>
      </w:r>
      <w:r>
        <w:rPr>
          <w:rFonts w:asciiTheme="minorEastAsia" w:hAnsiTheme="minorEastAsia" w:eastAsiaTheme="minorEastAsia"/>
          <w:sz w:val="24"/>
          <w:szCs w:val="24"/>
        </w:rPr>
        <w:t>文化活动</w:t>
      </w:r>
      <w:r>
        <w:rPr>
          <w:rFonts w:hint="eastAsia" w:asciiTheme="minorEastAsia" w:hAnsiTheme="minorEastAsia" w:eastAsiaTheme="minorEastAsia"/>
          <w:sz w:val="24"/>
          <w:szCs w:val="24"/>
        </w:rPr>
        <w:t>、</w:t>
      </w:r>
      <w:r>
        <w:rPr>
          <w:rFonts w:asciiTheme="minorEastAsia" w:hAnsiTheme="minorEastAsia" w:eastAsiaTheme="minorEastAsia"/>
          <w:sz w:val="24"/>
          <w:szCs w:val="24"/>
        </w:rPr>
        <w:t>读书演讲活动等各类活动，为学生综合素质培养提供广阔天地</w:t>
      </w:r>
      <w:r>
        <w:rPr>
          <w:rFonts w:hint="eastAsia" w:asciiTheme="minorEastAsia" w:hAnsiTheme="minorEastAsia" w:eastAsiaTheme="minorEastAsia"/>
          <w:sz w:val="24"/>
          <w:szCs w:val="24"/>
        </w:rPr>
        <w:t>，</w:t>
      </w:r>
      <w:r>
        <w:rPr>
          <w:rFonts w:asciiTheme="minorEastAsia" w:hAnsiTheme="minorEastAsia" w:eastAsiaTheme="minorEastAsia"/>
          <w:sz w:val="24"/>
          <w:szCs w:val="24"/>
        </w:rPr>
        <w:t>学生在活动中展现自我，认识自我，发展自我。</w:t>
      </w:r>
    </w:p>
    <w:p>
      <w:pPr>
        <w:jc w:val="center"/>
      </w:pPr>
      <w:r>
        <w:rPr>
          <w:rFonts w:hint="eastAsia"/>
          <w:b/>
          <w:sz w:val="28"/>
          <w:szCs w:val="28"/>
        </w:rPr>
        <w:drawing>
          <wp:inline distT="0" distB="0" distL="0" distR="0">
            <wp:extent cx="2390140" cy="1792605"/>
            <wp:effectExtent l="0" t="0" r="0" b="0"/>
            <wp:docPr id="6" name="图片 6" descr="38c515ba0405bf1df3dc8327b322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c515ba0405bf1df3dc8327b322d6b"/>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390140" cy="1792605"/>
                    </a:xfrm>
                    <a:prstGeom prst="rect">
                      <a:avLst/>
                    </a:prstGeom>
                  </pic:spPr>
                </pic:pic>
              </a:graphicData>
            </a:graphic>
          </wp:inline>
        </w:drawing>
      </w:r>
      <w:r>
        <w:rPr>
          <w:rFonts w:hint="eastAsia"/>
        </w:rPr>
        <w:t xml:space="preserve">  </w:t>
      </w:r>
      <w:r>
        <w:rPr>
          <w:rFonts w:hint="eastAsia"/>
          <w:b/>
          <w:sz w:val="28"/>
          <w:szCs w:val="28"/>
        </w:rPr>
        <w:drawing>
          <wp:inline distT="0" distB="0" distL="114300" distR="114300">
            <wp:extent cx="2392045" cy="1793875"/>
            <wp:effectExtent l="0" t="0" r="8255" b="0"/>
            <wp:docPr id="7" name="图片 7" descr="ae56630a7652fd927614bd4b4420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e56630a7652fd927614bd4b44201fc"/>
                    <pic:cNvPicPr>
                      <a:picLocks noChangeAspect="1"/>
                    </pic:cNvPicPr>
                  </pic:nvPicPr>
                  <pic:blipFill>
                    <a:blip r:embed="rId28"/>
                    <a:stretch>
                      <a:fillRect/>
                    </a:stretch>
                  </pic:blipFill>
                  <pic:spPr>
                    <a:xfrm>
                      <a:off x="0" y="0"/>
                      <a:ext cx="2392045" cy="1793875"/>
                    </a:xfrm>
                    <a:prstGeom prst="rect">
                      <a:avLst/>
                    </a:prstGeom>
                  </pic:spPr>
                </pic:pic>
              </a:graphicData>
            </a:graphic>
          </wp:inline>
        </w:drawing>
      </w:r>
    </w:p>
    <w:p>
      <w:pPr>
        <w:spacing w:before="156" w:before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图7-1  校园文化建设突出“行真”</w:t>
      </w:r>
    </w:p>
    <w:p>
      <w:pPr>
        <w:pStyle w:val="3"/>
        <w:spacing w:before="156" w:beforeLines="50" w:after="0"/>
        <w:rPr>
          <w:rFonts w:ascii="黑体" w:hAnsi="黑体" w:eastAsia="黑体"/>
          <w:sz w:val="28"/>
          <w:szCs w:val="28"/>
        </w:rPr>
      </w:pPr>
      <w:bookmarkStart w:id="61" w:name="_Toc29894719"/>
      <w:r>
        <w:rPr>
          <w:rFonts w:hint="eastAsia" w:ascii="黑体" w:hAnsi="黑体" w:eastAsia="黑体"/>
          <w:sz w:val="28"/>
          <w:szCs w:val="28"/>
        </w:rPr>
        <w:t>（二）以校企合作为抓手，探索现代学徒制人才培养模式改革</w:t>
      </w:r>
      <w:bookmarkEnd w:id="61"/>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产教融合，校企合作是中职学校接轨市场，培养适应企业需求的基础。2019年，以示范校建设为契机，学校进一步加强了校企合作的工作力度，在与无锡电仪、无锡夏普深度合作的基础之上，今年新增深度校企合作企业四家：计算机平面设计专业与四川魔力风暴科技有限公司联合开办订单班，推行每月2周文化、专业基础课学校负责，2周专业核心课企业负责的“2+2”现代学徒制育人模式改革；中餐烹饪与营养膳食专业与安徽中厨教育投资有限公司合作办学，推行半天文化基础课，半天专业课企业负责的“0.5+0.5”的现代学徒制育人模式改革；汽车运用与维修专业与深圳风向标教育资源股份有限公司、四川鸿昶海龙教育科技有限公司成都汽车维修联盟产教融合中心校企合作，共建设实训基地，探索现代学徒制人才培养改革。</w:t>
      </w:r>
    </w:p>
    <w:p>
      <w:pPr>
        <w:spacing w:before="156" w:beforeLines="50" w:line="360" w:lineRule="auto"/>
        <w:ind w:firstLine="484" w:firstLineChars="202"/>
        <w:rPr>
          <w:rFonts w:asciiTheme="minorEastAsia" w:hAnsiTheme="minorEastAsia" w:eastAsiaTheme="minorEastAsia"/>
          <w:sz w:val="24"/>
          <w:szCs w:val="24"/>
        </w:rPr>
      </w:pPr>
      <w:bookmarkStart w:id="62" w:name="_Toc501482431"/>
      <w:r>
        <w:rPr>
          <w:rFonts w:hint="eastAsia" w:asciiTheme="minorEastAsia" w:hAnsiTheme="minorEastAsia" w:eastAsiaTheme="minorEastAsia"/>
          <w:sz w:val="24"/>
          <w:szCs w:val="24"/>
        </w:rPr>
        <w:t>通过现代学徒制的试点，取得了以下成效：</w:t>
      </w:r>
    </w:p>
    <w:p>
      <w:pPr>
        <w:spacing w:before="156" w:beforeLines="50" w:line="360" w:lineRule="auto"/>
        <w:ind w:firstLine="562" w:firstLineChars="200"/>
        <w:rPr>
          <w:b/>
          <w:sz w:val="28"/>
          <w:szCs w:val="28"/>
        </w:rPr>
      </w:pPr>
      <w:r>
        <w:rPr>
          <w:rFonts w:hint="eastAsia"/>
          <w:b/>
          <w:sz w:val="28"/>
          <w:szCs w:val="28"/>
        </w:rPr>
        <w:t>1.探索工学育人模式，进一步提升学生职业素养</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通过教师、师傅联合对学生开展以专业技能、职业素养为主的培养，实现了对“学生</w:t>
      </w:r>
      <w:r>
        <w:rPr>
          <w:rFonts w:asciiTheme="minorEastAsia" w:hAnsiTheme="minorEastAsia" w:eastAsiaTheme="minorEastAsia"/>
          <w:sz w:val="24"/>
          <w:szCs w:val="24"/>
        </w:rPr>
        <w:sym w:font="Wingdings" w:char="00E0"/>
      </w:r>
      <w:r>
        <w:rPr>
          <w:rFonts w:hint="eastAsia" w:asciiTheme="minorEastAsia" w:hAnsiTheme="minorEastAsia" w:eastAsiaTheme="minorEastAsia"/>
          <w:sz w:val="24"/>
          <w:szCs w:val="24"/>
        </w:rPr>
        <w:t>学徒</w:t>
      </w:r>
      <w:r>
        <w:rPr>
          <w:rFonts w:asciiTheme="minorEastAsia" w:hAnsiTheme="minorEastAsia" w:eastAsiaTheme="minorEastAsia"/>
          <w:sz w:val="24"/>
          <w:szCs w:val="24"/>
        </w:rPr>
        <w:sym w:font="Wingdings" w:char="00E0"/>
      </w:r>
      <w:r>
        <w:rPr>
          <w:rFonts w:hint="eastAsia" w:asciiTheme="minorEastAsia" w:hAnsiTheme="minorEastAsia" w:eastAsiaTheme="minorEastAsia"/>
          <w:sz w:val="24"/>
          <w:szCs w:val="24"/>
        </w:rPr>
        <w:t>准员工</w:t>
      </w:r>
      <w:r>
        <w:rPr>
          <w:rFonts w:asciiTheme="minorEastAsia" w:hAnsiTheme="minorEastAsia" w:eastAsiaTheme="minorEastAsia"/>
          <w:sz w:val="24"/>
          <w:szCs w:val="24"/>
        </w:rPr>
        <w:sym w:font="Wingdings" w:char="00E0"/>
      </w:r>
      <w:r>
        <w:rPr>
          <w:rFonts w:hint="eastAsia" w:asciiTheme="minorEastAsia" w:hAnsiTheme="minorEastAsia" w:eastAsiaTheme="minorEastAsia"/>
          <w:sz w:val="24"/>
          <w:szCs w:val="24"/>
        </w:rPr>
        <w:t>员工”四位一体工学育人模式的成功探索。学生专业技能和职业素养明显提升，得到了合作企业的高度认可。</w:t>
      </w:r>
    </w:p>
    <w:p>
      <w:pPr>
        <w:spacing w:before="156" w:beforeLines="50" w:line="360" w:lineRule="auto"/>
        <w:ind w:firstLine="562" w:firstLineChars="200"/>
        <w:rPr>
          <w:b/>
          <w:sz w:val="28"/>
          <w:szCs w:val="28"/>
        </w:rPr>
      </w:pPr>
      <w:r>
        <w:rPr>
          <w:rFonts w:hint="eastAsia"/>
          <w:b/>
          <w:sz w:val="28"/>
          <w:szCs w:val="28"/>
        </w:rPr>
        <w:t>2.探索学练一体模式，进一步提高学生专业技能</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学以致用是学习的重要目标。强化学生实际操作能力的培养，学校采用项目过关制教学，企业采用师傅带徒弟的培养试点取得初步成功，学生专业技能明显提升。在2019年“内江市职业院校技能大赛”中，取得优异成绩，获得4个一等奖、6个二等奖、13个三等奖。</w:t>
      </w:r>
    </w:p>
    <w:p>
      <w:pPr>
        <w:spacing w:before="156" w:beforeLines="50" w:line="360" w:lineRule="auto"/>
        <w:ind w:firstLine="562" w:firstLineChars="200"/>
        <w:rPr>
          <w:b/>
          <w:sz w:val="28"/>
          <w:szCs w:val="28"/>
        </w:rPr>
      </w:pPr>
      <w:r>
        <w:rPr>
          <w:rFonts w:hint="eastAsia"/>
          <w:b/>
          <w:sz w:val="28"/>
          <w:szCs w:val="28"/>
        </w:rPr>
        <w:t>3.探索校企合作模式，进一步深化校企合作关系</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学校以真诚的合作态度，想企业之所想，急企业之所需。赢得了企业的信任，学校同企业建立了深厚的友谊和良好的合作关系，很好的破解了大多数企业对试点工作积极性不高的难题。</w:t>
      </w:r>
    </w:p>
    <w:p>
      <w:pPr>
        <w:spacing w:before="156" w:beforeLines="50" w:line="360" w:lineRule="auto"/>
        <w:ind w:firstLine="562" w:firstLineChars="200"/>
        <w:rPr>
          <w:b/>
          <w:sz w:val="28"/>
          <w:szCs w:val="28"/>
        </w:rPr>
      </w:pPr>
      <w:r>
        <w:rPr>
          <w:rFonts w:hint="eastAsia"/>
          <w:b/>
          <w:sz w:val="28"/>
          <w:szCs w:val="28"/>
        </w:rPr>
        <w:t>4.探索教师培养模式，进一步强化教师职业技能</w:t>
      </w:r>
    </w:p>
    <w:p>
      <w:pPr>
        <w:spacing w:before="156" w:beforeLines="50" w:line="360" w:lineRule="auto"/>
        <w:ind w:firstLine="484" w:firstLineChars="202"/>
        <w:rPr>
          <w:rFonts w:asciiTheme="minorEastAsia" w:hAnsiTheme="minorEastAsia" w:eastAsiaTheme="minorEastAsia"/>
          <w:sz w:val="24"/>
          <w:szCs w:val="24"/>
        </w:rPr>
      </w:pPr>
      <w:r>
        <w:rPr>
          <w:rFonts w:hint="eastAsia" w:asciiTheme="minorEastAsia" w:hAnsiTheme="minorEastAsia" w:eastAsiaTheme="minorEastAsia"/>
          <w:sz w:val="24"/>
          <w:szCs w:val="24"/>
        </w:rPr>
        <w:t>学校与合作共同成立了由学校专业教师、企业高管、企业岗位主管组成的“校企联合教研室”。一方面对教学工作和实习工作进行过程管理、研讨与监督，另一方面有计划地选派专业教师深入企业岗位，学习专业技能、企业文化、企业管理，学校专业教师职业技能得到明显提升。同时，学校从企业聘请专业技术人才到校进行教学指导，引进企业先进的管理理念和先进的生产技术，促进了学校内涵建设进一步提升。</w:t>
      </w:r>
    </w:p>
    <w:p>
      <w:pPr>
        <w:spacing w:before="156" w:beforeLines="50" w:line="360" w:lineRule="auto"/>
        <w:ind w:firstLine="562" w:firstLineChars="200"/>
        <w:rPr>
          <w:b/>
          <w:sz w:val="28"/>
          <w:szCs w:val="28"/>
        </w:rPr>
      </w:pPr>
      <w:r>
        <w:rPr>
          <w:rFonts w:hint="eastAsia"/>
          <w:b/>
          <w:sz w:val="28"/>
          <w:szCs w:val="28"/>
        </w:rPr>
        <w:t>5.探索工学结合模式，进一步拓宽贫困生求学之路</w:t>
      </w:r>
    </w:p>
    <w:p>
      <w:pPr>
        <w:spacing w:before="156" w:beforeLines="50" w:line="360" w:lineRule="auto"/>
        <w:ind w:firstLine="484" w:firstLineChars="202"/>
        <w:rPr>
          <w:sz w:val="28"/>
        </w:rPr>
      </w:pPr>
      <w:r>
        <w:rPr>
          <w:rFonts w:hint="eastAsia" w:asciiTheme="minorEastAsia" w:hAnsiTheme="minorEastAsia" w:eastAsiaTheme="minorEastAsia"/>
          <w:sz w:val="24"/>
          <w:szCs w:val="24"/>
        </w:rPr>
        <w:t>试点班学员大部分家庭条件差，其中很大与部分是建档立卡精准扶贫家庭学生。学校与企业商定，在生产实习和顶岗实习期间，由企业按照相关规定给予学生工作报酬。试点班学员三年的学习，不但为家庭减轻了负担,还让自己顺利完成了学业，获得了社会的好评。</w:t>
      </w:r>
    </w:p>
    <w:p>
      <w:pPr>
        <w:pStyle w:val="2"/>
        <w:spacing w:before="312" w:beforeLines="100" w:after="0"/>
        <w:rPr>
          <w:rFonts w:ascii="黑体" w:hAnsi="黑体" w:eastAsia="黑体"/>
          <w:sz w:val="30"/>
          <w:szCs w:val="30"/>
        </w:rPr>
      </w:pPr>
      <w:bookmarkStart w:id="63" w:name="_Toc29894720"/>
      <w:r>
        <w:rPr>
          <w:rFonts w:hint="eastAsia" w:ascii="黑体" w:hAnsi="黑体" w:eastAsia="黑体"/>
          <w:sz w:val="30"/>
          <w:szCs w:val="30"/>
        </w:rPr>
        <w:t>八、主要问题和改进措施</w:t>
      </w:r>
      <w:bookmarkEnd w:id="62"/>
      <w:bookmarkEnd w:id="63"/>
    </w:p>
    <w:p>
      <w:pPr>
        <w:pStyle w:val="3"/>
        <w:spacing w:before="156" w:beforeLines="50" w:after="0"/>
        <w:rPr>
          <w:rFonts w:ascii="黑体" w:hAnsi="黑体" w:eastAsia="黑体"/>
          <w:sz w:val="28"/>
          <w:szCs w:val="28"/>
        </w:rPr>
      </w:pPr>
      <w:bookmarkStart w:id="64" w:name="_Toc501482432"/>
      <w:bookmarkStart w:id="65" w:name="_Toc29894721"/>
      <w:r>
        <w:rPr>
          <w:rFonts w:hint="eastAsia" w:ascii="黑体" w:hAnsi="黑体" w:eastAsia="黑体"/>
          <w:sz w:val="28"/>
          <w:szCs w:val="28"/>
        </w:rPr>
        <w:t>（一）存在问题</w:t>
      </w:r>
      <w:bookmarkEnd w:id="64"/>
      <w:bookmarkEnd w:id="65"/>
    </w:p>
    <w:p>
      <w:pPr>
        <w:spacing w:before="156" w:beforeLines="50" w:line="360" w:lineRule="auto"/>
        <w:ind w:firstLine="562" w:firstLineChars="200"/>
        <w:rPr>
          <w:b/>
          <w:sz w:val="28"/>
          <w:szCs w:val="28"/>
        </w:rPr>
      </w:pPr>
      <w:r>
        <w:rPr>
          <w:rFonts w:hint="eastAsia"/>
          <w:b/>
          <w:sz w:val="28"/>
          <w:szCs w:val="28"/>
        </w:rPr>
        <w:t>1.师资建设的问题</w:t>
      </w:r>
    </w:p>
    <w:p>
      <w:pPr>
        <w:spacing w:before="156" w:beforeLines="50" w:line="360" w:lineRule="auto"/>
        <w:ind w:firstLine="480" w:firstLineChars="200"/>
        <w:rPr>
          <w:sz w:val="24"/>
          <w:szCs w:val="24"/>
        </w:rPr>
      </w:pPr>
      <w:r>
        <w:rPr>
          <w:rFonts w:hint="eastAsia"/>
          <w:sz w:val="24"/>
          <w:szCs w:val="24"/>
        </w:rPr>
        <w:t>教师结构不合理。近年来，学校不断探索中，高衔接的办学模式，对口升学班学生增多，文化课中部分学科紧缺。专业课中，部分专业调整面临师资紧缺的状况，如汽车运用与维修、电子商务、电子专业物联网方向等。</w:t>
      </w:r>
    </w:p>
    <w:p>
      <w:pPr>
        <w:spacing w:before="156" w:beforeLines="50" w:line="360" w:lineRule="auto"/>
        <w:ind w:firstLine="480" w:firstLineChars="200"/>
        <w:rPr>
          <w:sz w:val="24"/>
          <w:szCs w:val="24"/>
        </w:rPr>
      </w:pPr>
      <w:r>
        <w:rPr>
          <w:rFonts w:hint="eastAsia"/>
          <w:sz w:val="24"/>
          <w:szCs w:val="24"/>
        </w:rPr>
        <w:t>部分专任教师专业教学能力需进一步提高，一是对职业教育政策的理解不到位，对职高学生的教育教学管理方法单一；二是部分文化课教师面对基础较差的学生，缺乏提差培优的能力；三是部分专业课教师专业技能有待进一步提高，企业实践能力不够。</w:t>
      </w:r>
    </w:p>
    <w:p>
      <w:pPr>
        <w:spacing w:before="156" w:beforeLines="50" w:line="360" w:lineRule="auto"/>
        <w:ind w:firstLine="562" w:firstLineChars="200"/>
        <w:rPr>
          <w:b/>
          <w:sz w:val="28"/>
          <w:szCs w:val="28"/>
        </w:rPr>
      </w:pPr>
      <w:r>
        <w:rPr>
          <w:rFonts w:hint="eastAsia"/>
          <w:b/>
          <w:sz w:val="28"/>
          <w:szCs w:val="28"/>
        </w:rPr>
        <w:t>2.专业建设的问题</w:t>
      </w:r>
    </w:p>
    <w:p>
      <w:pPr>
        <w:spacing w:before="156" w:beforeLines="50" w:line="360" w:lineRule="auto"/>
        <w:ind w:firstLine="480" w:firstLineChars="200"/>
        <w:rPr>
          <w:sz w:val="24"/>
          <w:szCs w:val="24"/>
        </w:rPr>
      </w:pPr>
      <w:r>
        <w:rPr>
          <w:rFonts w:hint="eastAsia"/>
          <w:sz w:val="24"/>
          <w:szCs w:val="24"/>
        </w:rPr>
        <w:t>一是专业动态调整受条件限制滞后，部分专业教学与社会需求不一致的问题，如电子技术应用、机械加工技术专业需调整培养方向，适应智能创造的需求，但由于专业师资的原因，未能及时调整专业方向；二是专业发展与区域经济发展联系不紧密的问题，由于区域内企业规模小、特色企业少，与学校专业建设结合不紧密；三是进一步提高专业课教师素养，提高专业教学质量的问题。</w:t>
      </w:r>
    </w:p>
    <w:p>
      <w:pPr>
        <w:spacing w:before="156" w:beforeLines="50" w:line="360" w:lineRule="auto"/>
        <w:ind w:firstLine="562" w:firstLineChars="200"/>
        <w:rPr>
          <w:b/>
          <w:sz w:val="28"/>
          <w:szCs w:val="28"/>
        </w:rPr>
      </w:pPr>
      <w:r>
        <w:rPr>
          <w:rFonts w:hint="eastAsia"/>
          <w:b/>
          <w:sz w:val="28"/>
          <w:szCs w:val="28"/>
        </w:rPr>
        <w:t>3.产教融合不深入的问题</w:t>
      </w:r>
    </w:p>
    <w:p>
      <w:pPr>
        <w:spacing w:before="156" w:beforeLines="50" w:line="360" w:lineRule="auto"/>
        <w:ind w:firstLine="480" w:firstLineChars="200"/>
        <w:rPr>
          <w:sz w:val="24"/>
          <w:szCs w:val="24"/>
        </w:rPr>
      </w:pPr>
      <w:r>
        <w:rPr>
          <w:rFonts w:hint="eastAsia"/>
          <w:sz w:val="24"/>
          <w:szCs w:val="24"/>
        </w:rPr>
        <w:t>目前，学校与部分企业建立了校企合作关系，但存在以下三个问题，一是与部分企业只是用工关系，没有在共同育人方面走向深入；二是学校规划的引企入校，一直没有联系到优质的企业；三是少数专业仅停留在对口升学方面，没有合作的企业。</w:t>
      </w:r>
    </w:p>
    <w:p>
      <w:pPr>
        <w:spacing w:before="156" w:beforeLines="50" w:line="360" w:lineRule="auto"/>
        <w:ind w:firstLine="562" w:firstLineChars="200"/>
        <w:rPr>
          <w:b/>
          <w:sz w:val="28"/>
          <w:szCs w:val="28"/>
        </w:rPr>
      </w:pPr>
      <w:r>
        <w:rPr>
          <w:rFonts w:hint="eastAsia"/>
          <w:b/>
          <w:sz w:val="28"/>
          <w:szCs w:val="28"/>
        </w:rPr>
        <w:t>4.招生问题</w:t>
      </w:r>
    </w:p>
    <w:p>
      <w:pPr>
        <w:spacing w:before="156" w:beforeLines="50" w:line="360" w:lineRule="auto"/>
        <w:ind w:firstLine="480" w:firstLineChars="200"/>
        <w:rPr>
          <w:sz w:val="24"/>
          <w:szCs w:val="24"/>
        </w:rPr>
      </w:pPr>
      <w:r>
        <w:rPr>
          <w:rFonts w:hint="eastAsia"/>
          <w:sz w:val="24"/>
          <w:szCs w:val="24"/>
        </w:rPr>
        <w:t>职业教育在社会上，家长认可度还不够高，加上招生秩序不规范，招生面临较大困难。特别是招收的学生普遍文化基础差、行为习惯差、未形成良好的学习习惯，影响了人才素质的提升。</w:t>
      </w:r>
    </w:p>
    <w:p>
      <w:pPr>
        <w:pStyle w:val="3"/>
        <w:spacing w:before="156" w:beforeLines="50" w:after="0"/>
        <w:rPr>
          <w:rFonts w:ascii="黑体" w:hAnsi="黑体" w:eastAsia="黑体"/>
          <w:sz w:val="28"/>
          <w:szCs w:val="28"/>
        </w:rPr>
      </w:pPr>
      <w:bookmarkStart w:id="66" w:name="_Toc28938828"/>
      <w:bookmarkStart w:id="67" w:name="_Toc501482433"/>
      <w:bookmarkStart w:id="68" w:name="_Toc29894722"/>
      <w:r>
        <w:rPr>
          <w:rFonts w:hint="eastAsia" w:ascii="黑体" w:hAnsi="黑体" w:eastAsia="黑体"/>
          <w:sz w:val="28"/>
          <w:szCs w:val="28"/>
        </w:rPr>
        <w:t>（二）改进措施</w:t>
      </w:r>
      <w:bookmarkEnd w:id="66"/>
      <w:bookmarkEnd w:id="67"/>
      <w:bookmarkEnd w:id="68"/>
    </w:p>
    <w:p>
      <w:pPr>
        <w:spacing w:before="156" w:beforeLines="50" w:line="360" w:lineRule="auto"/>
        <w:ind w:firstLine="562" w:firstLineChars="200"/>
        <w:rPr>
          <w:b/>
          <w:sz w:val="28"/>
          <w:szCs w:val="28"/>
        </w:rPr>
      </w:pPr>
      <w:r>
        <w:rPr>
          <w:rFonts w:hint="eastAsia"/>
          <w:b/>
          <w:sz w:val="28"/>
          <w:szCs w:val="28"/>
        </w:rPr>
        <w:t>1. 以示范校建设为契机，全面提升学校教育教学内涵</w:t>
      </w:r>
    </w:p>
    <w:p>
      <w:pPr>
        <w:spacing w:before="156" w:beforeLines="50" w:line="360" w:lineRule="auto"/>
        <w:ind w:firstLine="480" w:firstLineChars="200"/>
        <w:rPr>
          <w:sz w:val="24"/>
          <w:szCs w:val="24"/>
        </w:rPr>
      </w:pPr>
      <w:r>
        <w:rPr>
          <w:rFonts w:hint="eastAsia"/>
          <w:sz w:val="24"/>
          <w:szCs w:val="24"/>
        </w:rPr>
        <w:t>围绕区域经济社会发展，以创建省级示范校为目标，以构建产教融合、校企合作长效机制为抓手，实现深度产教融合；以骨干专业建设为重点，优化实训基地建设；以坚持标准规范办学为保障，建立依法治校、规范办学的制度体系；以师资队伍建设为基础，提高教育教学质量；以全面推进信息化建设为突破口，建设高效安全的数字化校园；以建设现代职业学校为引领，打造管理规范、特色鲜明的现代学校。学校全面提高综合办学水平和社会服务能力，在全省中职学校中发挥引领和示范作用。</w:t>
      </w:r>
    </w:p>
    <w:p>
      <w:pPr>
        <w:spacing w:before="156" w:beforeLines="50" w:line="360" w:lineRule="auto"/>
        <w:ind w:firstLine="562" w:firstLineChars="200"/>
        <w:rPr>
          <w:b/>
          <w:sz w:val="28"/>
          <w:szCs w:val="28"/>
        </w:rPr>
      </w:pPr>
      <w:r>
        <w:rPr>
          <w:rFonts w:hint="eastAsia"/>
          <w:b/>
          <w:sz w:val="28"/>
          <w:szCs w:val="28"/>
        </w:rPr>
        <w:t>2.规范招生行为、扩大办学规模</w:t>
      </w:r>
    </w:p>
    <w:p>
      <w:pPr>
        <w:spacing w:before="156" w:beforeLines="50" w:line="360" w:lineRule="auto"/>
        <w:ind w:firstLine="480" w:firstLineChars="200"/>
        <w:rPr>
          <w:sz w:val="24"/>
          <w:szCs w:val="24"/>
        </w:rPr>
      </w:pPr>
      <w:r>
        <w:rPr>
          <w:rFonts w:hint="eastAsia"/>
          <w:sz w:val="24"/>
          <w:szCs w:val="24"/>
        </w:rPr>
        <w:t>积极争取上级支持，进一步规范中职招生工作，加强职业教育宣传，营造良好的职教氛围，在2019年招生1200人的基础上，巩固招生成果，2020年完成招生1200人以上，三年内，逐步达到在校生3600人以上的规模。</w:t>
      </w:r>
    </w:p>
    <w:p>
      <w:pPr>
        <w:spacing w:before="156" w:beforeLines="50" w:line="360" w:lineRule="auto"/>
        <w:ind w:firstLine="562" w:firstLineChars="200"/>
        <w:rPr>
          <w:b/>
          <w:sz w:val="28"/>
          <w:szCs w:val="28"/>
        </w:rPr>
      </w:pPr>
      <w:r>
        <w:rPr>
          <w:rFonts w:hint="eastAsia"/>
          <w:b/>
          <w:sz w:val="28"/>
          <w:szCs w:val="28"/>
        </w:rPr>
        <w:t>3.加强师资队伍建设</w:t>
      </w:r>
    </w:p>
    <w:p>
      <w:pPr>
        <w:spacing w:before="156" w:beforeLines="50" w:line="360" w:lineRule="auto"/>
        <w:ind w:firstLine="480" w:firstLineChars="200"/>
        <w:rPr>
          <w:sz w:val="24"/>
          <w:szCs w:val="24"/>
        </w:rPr>
      </w:pPr>
      <w:r>
        <w:rPr>
          <w:rFonts w:hint="eastAsia"/>
          <w:sz w:val="24"/>
          <w:szCs w:val="24"/>
        </w:rPr>
        <w:t>一是引进紧缺学科教师，确保结构合理。二是加强培训学习，制定培训规划，开展分类培训，重点是专业课教师专业技能培训，教学水平培训，科研能力培训，信息化能力培训等。三是积极争取政策，聘请有专业特长的技师兼任专业课教学。</w:t>
      </w:r>
    </w:p>
    <w:p>
      <w:pPr>
        <w:spacing w:before="156" w:beforeLines="50" w:line="360" w:lineRule="auto"/>
        <w:ind w:firstLine="562" w:firstLineChars="200"/>
        <w:rPr>
          <w:b/>
          <w:sz w:val="28"/>
          <w:szCs w:val="28"/>
        </w:rPr>
      </w:pPr>
      <w:r>
        <w:rPr>
          <w:rFonts w:hint="eastAsia"/>
          <w:b/>
          <w:sz w:val="28"/>
          <w:szCs w:val="28"/>
        </w:rPr>
        <w:t>4.实现产教深度融合</w:t>
      </w:r>
    </w:p>
    <w:p>
      <w:pPr>
        <w:spacing w:before="156" w:beforeLines="50" w:line="360" w:lineRule="auto"/>
        <w:ind w:firstLine="480" w:firstLineChars="200"/>
        <w:rPr>
          <w:sz w:val="24"/>
          <w:szCs w:val="24"/>
        </w:rPr>
      </w:pPr>
      <w:r>
        <w:rPr>
          <w:rFonts w:hint="eastAsia"/>
          <w:sz w:val="24"/>
          <w:szCs w:val="24"/>
        </w:rPr>
        <w:t>抓住省示范校创建的机遇，深化产教融合，建立校企合作的长效机制，建立校企合作的标准体系，共建校企育人平台，实施订单培养，校企共同育人，继续探索现代学徒制的育人模式改革。</w:t>
      </w:r>
    </w:p>
    <w:p>
      <w:pPr>
        <w:spacing w:before="156" w:beforeLines="50" w:line="360" w:lineRule="auto"/>
        <w:ind w:firstLine="562" w:firstLineChars="200"/>
        <w:rPr>
          <w:b/>
          <w:sz w:val="28"/>
          <w:szCs w:val="28"/>
        </w:rPr>
      </w:pPr>
      <w:r>
        <w:rPr>
          <w:rFonts w:hint="eastAsia"/>
          <w:b/>
          <w:sz w:val="28"/>
          <w:szCs w:val="28"/>
        </w:rPr>
        <w:t>5.加强专业建设</w:t>
      </w:r>
    </w:p>
    <w:p>
      <w:pPr>
        <w:spacing w:before="156" w:beforeLines="50" w:line="360" w:lineRule="auto"/>
        <w:ind w:firstLine="480" w:firstLineChars="200"/>
        <w:rPr>
          <w:sz w:val="24"/>
          <w:szCs w:val="24"/>
        </w:rPr>
      </w:pPr>
      <w:r>
        <w:rPr>
          <w:rFonts w:hint="eastAsia"/>
          <w:sz w:val="24"/>
          <w:szCs w:val="24"/>
        </w:rPr>
        <w:t>学校根据市场人才需求和区域经济发展、产业结构调整的实际情况，确定专业设置以三大专业群发展的战略，一是结合内江市资中县大力发展机械加工、汽（摩）配产业的产业发展状况，建立以汽车运用与维修、机械加工技术为主的加工制造类专业群；二是结合区域内电商产业发展，建立以计算机应用的平面设计方向、电子商务的信息类专业群；三是结合资中县大力发展现代农业和以水美城的旅游业发展，建立以涉农专业、旅游服务专业为主的特色专业群。确定计算机应用、汽车制造与维修两个专业为重点打造的骨干专业，努力办成特色鲜明的示范性专业。新建中餐烹饪与营养膳食专业，拟打造成为特色专业。</w:t>
      </w:r>
    </w:p>
    <w:p>
      <w:pPr>
        <w:pStyle w:val="2"/>
        <w:spacing w:before="312" w:beforeLines="100" w:after="0"/>
        <w:rPr>
          <w:rFonts w:ascii="黑体" w:hAnsi="黑体" w:eastAsia="黑体"/>
          <w:sz w:val="30"/>
          <w:szCs w:val="30"/>
        </w:rPr>
      </w:pPr>
      <w:bookmarkStart w:id="69" w:name="_Toc29894723"/>
      <w:r>
        <w:rPr>
          <w:rFonts w:hint="eastAsia" w:ascii="黑体" w:hAnsi="黑体" w:eastAsia="黑体"/>
          <w:sz w:val="30"/>
          <w:szCs w:val="30"/>
        </w:rPr>
        <w:t>九、其他</w:t>
      </w:r>
      <w:bookmarkEnd w:id="69"/>
    </w:p>
    <w:p>
      <w:pPr>
        <w:spacing w:before="156" w:beforeLines="50" w:line="360" w:lineRule="auto"/>
        <w:ind w:firstLine="480" w:firstLineChars="200"/>
        <w:rPr>
          <w:rFonts w:ascii="宋体" w:hAnsi="宋体"/>
          <w:sz w:val="24"/>
          <w:szCs w:val="24"/>
        </w:rPr>
      </w:pPr>
      <w:r>
        <w:rPr>
          <w:rFonts w:hint="eastAsia" w:ascii="宋体" w:hAnsi="宋体"/>
          <w:sz w:val="24"/>
          <w:szCs w:val="24"/>
        </w:rPr>
        <w:t>2018年12月29日，四川省教育厅、四川省人力资源和社会保障厅、四川省财政厅联合发文，正式批准资中县职业技术学校为省中职示范校项目建设学校（川教函[2018]755号）。2019年1月至2019年3月，在专家的指导下，学校认真编制了《建设方案》和《建设任务书》。2019年4月，四川省教育厅、四川省财政厅、四川省人力资源和社会保障厅批复同意学校《建设方案》和《建设任务书》。2019年4月正式启动示范校建设，建设期为2019年4月至2022年4月三年时间，第一年建设期为2019年4月至2020年4月。</w:t>
      </w:r>
    </w:p>
    <w:p>
      <w:pPr>
        <w:spacing w:before="156" w:beforeLines="50" w:line="360" w:lineRule="auto"/>
        <w:ind w:firstLine="480" w:firstLineChars="200"/>
        <w:rPr>
          <w:rFonts w:ascii="宋体" w:hAnsi="宋体"/>
          <w:sz w:val="24"/>
          <w:szCs w:val="24"/>
        </w:rPr>
      </w:pPr>
      <w:r>
        <w:rPr>
          <w:rFonts w:hint="eastAsia" w:ascii="宋体" w:hAnsi="宋体"/>
          <w:sz w:val="24"/>
          <w:szCs w:val="24"/>
        </w:rPr>
        <w:t>自示范校建设启动以来，市县党委政府高度重视，将示范校建设项目列为年度目标考核，充分给予了政策支持，地方匹配资金于2019年10月到位。学校充分动员全体师生，严格按照建设方案和任务书的要求，有序全面推进示范校建设工作。一是健全示范校建设的组织保障机构，成立了以资中县人民政府副县长吴小平为组长的建设工作领导小组；以校长邓盛斌为组长的学校领导小组，下设建设工作办公室；成立了项目建设工作监督小组；项目建设六大任务实施小组等组织保障机构。将示范校建设工作分为六大任务版块，由专门的六大任务小组来具体实施，各任务小组实行了任务层层分解、项目落地到人的分工模式。二是强化制度保障，建立健全了《项目实施管理办法》，《项目经费管理细则》。三是强化过程管理，示范校建设启动7个多月以来，参与建设的同志怀着高度的责任感、荣誉感，积极投入到建设工作中，任务得到了有序推进，各项目组群策群力，解决了建设中存在的许多问题。现将任务书完成情况和资金使用情况汇报如下：</w:t>
      </w:r>
    </w:p>
    <w:p>
      <w:pPr>
        <w:spacing w:before="156" w:beforeLines="50" w:line="360" w:lineRule="auto"/>
        <w:jc w:val="center"/>
        <w:rPr>
          <w:rFonts w:asciiTheme="minorEastAsia" w:hAnsiTheme="minorEastAsia"/>
          <w:szCs w:val="21"/>
        </w:rPr>
      </w:pPr>
      <w:r>
        <w:rPr>
          <w:rFonts w:hint="eastAsia" w:asciiTheme="minorEastAsia" w:hAnsiTheme="minorEastAsia"/>
          <w:szCs w:val="21"/>
        </w:rPr>
        <w:t>表9-1  任务书分解任务完成情况统计表（第一年度）</w:t>
      </w:r>
    </w:p>
    <w:tbl>
      <w:tblPr>
        <w:tblStyle w:val="31"/>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774"/>
        <w:gridCol w:w="1138"/>
        <w:gridCol w:w="1138"/>
        <w:gridCol w:w="1138"/>
        <w:gridCol w:w="1324"/>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4" w:type="dxa"/>
            <w:gridSpan w:val="2"/>
            <w:vAlign w:val="center"/>
          </w:tcPr>
          <w:p>
            <w:pPr>
              <w:jc w:val="center"/>
              <w:rPr>
                <w:rFonts w:ascii="Times New Roman" w:hAnsi="Times New Roman"/>
                <w:b/>
                <w:sz w:val="24"/>
                <w:szCs w:val="24"/>
              </w:rPr>
            </w:pPr>
            <w:r>
              <w:rPr>
                <w:rFonts w:hint="eastAsia" w:ascii="Times New Roman" w:hAnsi="Times New Roman"/>
                <w:b/>
                <w:sz w:val="24"/>
                <w:szCs w:val="24"/>
              </w:rPr>
              <w:t>建设内容</w:t>
            </w:r>
          </w:p>
        </w:tc>
        <w:tc>
          <w:tcPr>
            <w:tcW w:w="1138" w:type="dxa"/>
            <w:vAlign w:val="center"/>
          </w:tcPr>
          <w:p>
            <w:pPr>
              <w:jc w:val="center"/>
              <w:rPr>
                <w:rFonts w:ascii="Times New Roman" w:hAnsi="Times New Roman"/>
                <w:b/>
                <w:sz w:val="24"/>
                <w:szCs w:val="24"/>
              </w:rPr>
            </w:pPr>
            <w:r>
              <w:rPr>
                <w:rFonts w:hint="eastAsia" w:ascii="Times New Roman" w:hAnsi="Times New Roman"/>
                <w:b/>
                <w:sz w:val="24"/>
                <w:szCs w:val="24"/>
              </w:rPr>
              <w:t>拟完成任务统计</w:t>
            </w:r>
          </w:p>
        </w:tc>
        <w:tc>
          <w:tcPr>
            <w:tcW w:w="1138" w:type="dxa"/>
            <w:vAlign w:val="center"/>
          </w:tcPr>
          <w:p>
            <w:pPr>
              <w:jc w:val="center"/>
              <w:rPr>
                <w:rFonts w:ascii="Times New Roman" w:hAnsi="Times New Roman"/>
                <w:b/>
                <w:sz w:val="24"/>
                <w:szCs w:val="24"/>
              </w:rPr>
            </w:pPr>
            <w:r>
              <w:rPr>
                <w:rFonts w:hint="eastAsia" w:ascii="Times New Roman" w:hAnsi="Times New Roman"/>
                <w:b/>
                <w:sz w:val="24"/>
                <w:szCs w:val="24"/>
              </w:rPr>
              <w:t>已完成任务统计</w:t>
            </w:r>
          </w:p>
        </w:tc>
        <w:tc>
          <w:tcPr>
            <w:tcW w:w="1138" w:type="dxa"/>
            <w:vAlign w:val="center"/>
          </w:tcPr>
          <w:p>
            <w:pPr>
              <w:jc w:val="center"/>
              <w:rPr>
                <w:rFonts w:ascii="Times New Roman" w:hAnsi="Times New Roman"/>
                <w:b/>
                <w:sz w:val="24"/>
                <w:szCs w:val="24"/>
              </w:rPr>
            </w:pPr>
            <w:r>
              <w:rPr>
                <w:rFonts w:hint="eastAsia" w:ascii="Times New Roman" w:hAnsi="Times New Roman"/>
                <w:b/>
                <w:sz w:val="24"/>
                <w:szCs w:val="24"/>
              </w:rPr>
              <w:t>正在实施任务统计</w:t>
            </w:r>
          </w:p>
        </w:tc>
        <w:tc>
          <w:tcPr>
            <w:tcW w:w="1324" w:type="dxa"/>
            <w:vAlign w:val="center"/>
          </w:tcPr>
          <w:p>
            <w:pPr>
              <w:jc w:val="center"/>
              <w:rPr>
                <w:rFonts w:ascii="Times New Roman" w:hAnsi="Times New Roman"/>
                <w:b/>
                <w:sz w:val="24"/>
                <w:szCs w:val="24"/>
              </w:rPr>
            </w:pPr>
            <w:r>
              <w:rPr>
                <w:rFonts w:hint="eastAsia" w:ascii="Times New Roman" w:hAnsi="Times New Roman"/>
                <w:b/>
                <w:sz w:val="24"/>
                <w:szCs w:val="24"/>
              </w:rPr>
              <w:t>即将启动的任务统计</w:t>
            </w:r>
          </w:p>
        </w:tc>
        <w:tc>
          <w:tcPr>
            <w:tcW w:w="820" w:type="dxa"/>
            <w:vAlign w:val="center"/>
          </w:tcPr>
          <w:p>
            <w:pPr>
              <w:jc w:val="center"/>
              <w:rPr>
                <w:rFonts w:ascii="Times New Roman" w:hAnsi="Times New Roman"/>
                <w:b/>
                <w:sz w:val="24"/>
                <w:szCs w:val="24"/>
              </w:rPr>
            </w:pPr>
            <w:r>
              <w:rPr>
                <w:rFonts w:hint="eastAsia" w:ascii="Times New Roman" w:hAnsi="Times New Roman"/>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restart"/>
            <w:vAlign w:val="center"/>
          </w:tcPr>
          <w:p>
            <w:pPr>
              <w:jc w:val="center"/>
              <w:rPr>
                <w:rFonts w:ascii="宋体" w:hAnsi="宋体"/>
                <w:szCs w:val="21"/>
              </w:rPr>
            </w:pPr>
            <w:r>
              <w:rPr>
                <w:rFonts w:hint="eastAsia" w:ascii="宋体" w:hAnsi="宋体"/>
                <w:szCs w:val="21"/>
              </w:rPr>
              <w:t>一、促进产教深度融合</w:t>
            </w:r>
          </w:p>
        </w:tc>
        <w:tc>
          <w:tcPr>
            <w:tcW w:w="2774" w:type="dxa"/>
            <w:vAlign w:val="center"/>
          </w:tcPr>
          <w:p>
            <w:pPr>
              <w:rPr>
                <w:rFonts w:ascii="宋体" w:hAnsi="宋体"/>
                <w:szCs w:val="21"/>
              </w:rPr>
            </w:pPr>
            <w:r>
              <w:rPr>
                <w:rFonts w:hint="eastAsia" w:ascii="宋体" w:hAnsi="宋体"/>
                <w:szCs w:val="21"/>
              </w:rPr>
              <w:t>1、建立校企合作长效机制</w:t>
            </w:r>
          </w:p>
        </w:tc>
        <w:tc>
          <w:tcPr>
            <w:tcW w:w="1138" w:type="dxa"/>
            <w:vAlign w:val="center"/>
          </w:tcPr>
          <w:p>
            <w:pPr>
              <w:jc w:val="center"/>
              <w:rPr>
                <w:rFonts w:ascii="宋体" w:hAnsi="宋体"/>
                <w:szCs w:val="21"/>
              </w:rPr>
            </w:pPr>
            <w:r>
              <w:rPr>
                <w:rFonts w:hint="eastAsia" w:ascii="宋体" w:hAnsi="宋体"/>
                <w:szCs w:val="21"/>
              </w:rPr>
              <w:t>6</w:t>
            </w:r>
          </w:p>
        </w:tc>
        <w:tc>
          <w:tcPr>
            <w:tcW w:w="1138" w:type="dxa"/>
            <w:vAlign w:val="center"/>
          </w:tcPr>
          <w:p>
            <w:pPr>
              <w:jc w:val="center"/>
              <w:rPr>
                <w:rFonts w:ascii="宋体" w:hAnsi="宋体"/>
                <w:szCs w:val="21"/>
              </w:rPr>
            </w:pPr>
            <w:r>
              <w:rPr>
                <w:rFonts w:hint="eastAsia" w:ascii="宋体" w:hAnsi="宋体"/>
                <w:szCs w:val="21"/>
              </w:rPr>
              <w:t>3</w:t>
            </w:r>
          </w:p>
        </w:tc>
        <w:tc>
          <w:tcPr>
            <w:tcW w:w="1138" w:type="dxa"/>
            <w:vAlign w:val="center"/>
          </w:tcPr>
          <w:p>
            <w:pPr>
              <w:jc w:val="center"/>
              <w:rPr>
                <w:rFonts w:ascii="宋体" w:hAnsi="宋体"/>
                <w:szCs w:val="21"/>
              </w:rPr>
            </w:pPr>
            <w:r>
              <w:rPr>
                <w:rFonts w:hint="eastAsia" w:ascii="宋体" w:hAnsi="宋体"/>
                <w:szCs w:val="21"/>
              </w:rPr>
              <w:t>2</w:t>
            </w:r>
          </w:p>
        </w:tc>
        <w:tc>
          <w:tcPr>
            <w:tcW w:w="1324" w:type="dxa"/>
            <w:vAlign w:val="center"/>
          </w:tcPr>
          <w:p>
            <w:pPr>
              <w:jc w:val="center"/>
              <w:rPr>
                <w:rFonts w:ascii="宋体" w:hAnsi="宋体"/>
                <w:szCs w:val="21"/>
              </w:rPr>
            </w:pPr>
            <w:r>
              <w:rPr>
                <w:rFonts w:hint="eastAsia" w:ascii="宋体" w:hAnsi="宋体"/>
                <w:szCs w:val="21"/>
              </w:rPr>
              <w:t>1</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2、建立校企合作标准体系</w:t>
            </w:r>
          </w:p>
        </w:tc>
        <w:tc>
          <w:tcPr>
            <w:tcW w:w="1138" w:type="dxa"/>
            <w:vAlign w:val="center"/>
          </w:tcPr>
          <w:p>
            <w:pPr>
              <w:jc w:val="center"/>
              <w:rPr>
                <w:rFonts w:ascii="宋体" w:hAnsi="宋体"/>
                <w:szCs w:val="21"/>
              </w:rPr>
            </w:pPr>
            <w:r>
              <w:rPr>
                <w:rFonts w:hint="eastAsia" w:ascii="宋体" w:hAnsi="宋体"/>
                <w:szCs w:val="21"/>
              </w:rPr>
              <w:t>9</w:t>
            </w:r>
          </w:p>
        </w:tc>
        <w:tc>
          <w:tcPr>
            <w:tcW w:w="1138" w:type="dxa"/>
            <w:vAlign w:val="center"/>
          </w:tcPr>
          <w:p>
            <w:pPr>
              <w:jc w:val="center"/>
              <w:rPr>
                <w:rFonts w:ascii="宋体" w:hAnsi="宋体"/>
                <w:szCs w:val="21"/>
              </w:rPr>
            </w:pPr>
            <w:r>
              <w:rPr>
                <w:rFonts w:hint="eastAsia" w:ascii="宋体" w:hAnsi="宋体"/>
                <w:szCs w:val="21"/>
              </w:rPr>
              <w:t>4</w:t>
            </w:r>
          </w:p>
        </w:tc>
        <w:tc>
          <w:tcPr>
            <w:tcW w:w="1138" w:type="dxa"/>
            <w:vAlign w:val="center"/>
          </w:tcPr>
          <w:p>
            <w:pPr>
              <w:jc w:val="center"/>
              <w:rPr>
                <w:rFonts w:ascii="宋体" w:hAnsi="宋体"/>
                <w:szCs w:val="21"/>
              </w:rPr>
            </w:pPr>
            <w:r>
              <w:rPr>
                <w:rFonts w:hint="eastAsia" w:ascii="宋体" w:hAnsi="宋体"/>
                <w:szCs w:val="21"/>
              </w:rPr>
              <w:t>3</w:t>
            </w:r>
          </w:p>
        </w:tc>
        <w:tc>
          <w:tcPr>
            <w:tcW w:w="1324" w:type="dxa"/>
            <w:vAlign w:val="center"/>
          </w:tcPr>
          <w:p>
            <w:pPr>
              <w:jc w:val="center"/>
              <w:rPr>
                <w:rFonts w:ascii="宋体" w:hAnsi="宋体"/>
                <w:szCs w:val="21"/>
              </w:rPr>
            </w:pPr>
            <w:r>
              <w:rPr>
                <w:rFonts w:hint="eastAsia" w:ascii="宋体" w:hAnsi="宋体"/>
                <w:szCs w:val="21"/>
              </w:rPr>
              <w:t>2</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3、校企共建育人平台</w:t>
            </w:r>
          </w:p>
        </w:tc>
        <w:tc>
          <w:tcPr>
            <w:tcW w:w="1138" w:type="dxa"/>
            <w:vAlign w:val="center"/>
          </w:tcPr>
          <w:p>
            <w:pPr>
              <w:jc w:val="center"/>
              <w:rPr>
                <w:rFonts w:ascii="宋体" w:hAnsi="宋体"/>
                <w:szCs w:val="21"/>
              </w:rPr>
            </w:pPr>
            <w:r>
              <w:rPr>
                <w:rFonts w:hint="eastAsia" w:ascii="宋体" w:hAnsi="宋体"/>
                <w:szCs w:val="21"/>
              </w:rPr>
              <w:t>8</w:t>
            </w:r>
          </w:p>
        </w:tc>
        <w:tc>
          <w:tcPr>
            <w:tcW w:w="1138" w:type="dxa"/>
            <w:vAlign w:val="center"/>
          </w:tcPr>
          <w:p>
            <w:pPr>
              <w:jc w:val="center"/>
              <w:rPr>
                <w:rFonts w:ascii="宋体" w:hAnsi="宋体"/>
                <w:szCs w:val="21"/>
              </w:rPr>
            </w:pPr>
            <w:r>
              <w:rPr>
                <w:rFonts w:hint="eastAsia" w:ascii="宋体" w:hAnsi="宋体"/>
                <w:szCs w:val="21"/>
              </w:rPr>
              <w:t>4</w:t>
            </w:r>
          </w:p>
        </w:tc>
        <w:tc>
          <w:tcPr>
            <w:tcW w:w="1138" w:type="dxa"/>
            <w:vAlign w:val="center"/>
          </w:tcPr>
          <w:p>
            <w:pPr>
              <w:jc w:val="center"/>
              <w:rPr>
                <w:rFonts w:ascii="宋体" w:hAnsi="宋体"/>
                <w:szCs w:val="21"/>
              </w:rPr>
            </w:pPr>
            <w:r>
              <w:rPr>
                <w:rFonts w:hint="eastAsia" w:ascii="宋体" w:hAnsi="宋体"/>
                <w:szCs w:val="21"/>
              </w:rPr>
              <w:t>3</w:t>
            </w:r>
          </w:p>
        </w:tc>
        <w:tc>
          <w:tcPr>
            <w:tcW w:w="1324" w:type="dxa"/>
            <w:vAlign w:val="center"/>
          </w:tcPr>
          <w:p>
            <w:pPr>
              <w:jc w:val="center"/>
              <w:rPr>
                <w:rFonts w:ascii="宋体" w:hAnsi="宋体"/>
                <w:szCs w:val="21"/>
              </w:rPr>
            </w:pPr>
            <w:r>
              <w:rPr>
                <w:rFonts w:hint="eastAsia" w:ascii="宋体" w:hAnsi="宋体"/>
                <w:szCs w:val="21"/>
              </w:rPr>
              <w:t>1</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4、产教协同育人</w:t>
            </w:r>
          </w:p>
        </w:tc>
        <w:tc>
          <w:tcPr>
            <w:tcW w:w="1138" w:type="dxa"/>
            <w:vAlign w:val="center"/>
          </w:tcPr>
          <w:p>
            <w:pPr>
              <w:jc w:val="center"/>
              <w:rPr>
                <w:rFonts w:ascii="宋体" w:hAnsi="宋体"/>
                <w:szCs w:val="21"/>
              </w:rPr>
            </w:pPr>
            <w:r>
              <w:rPr>
                <w:rFonts w:hint="eastAsia" w:ascii="宋体" w:hAnsi="宋体"/>
                <w:szCs w:val="21"/>
              </w:rPr>
              <w:t>5</w:t>
            </w:r>
          </w:p>
        </w:tc>
        <w:tc>
          <w:tcPr>
            <w:tcW w:w="1138" w:type="dxa"/>
            <w:vAlign w:val="center"/>
          </w:tcPr>
          <w:p>
            <w:pPr>
              <w:jc w:val="center"/>
              <w:rPr>
                <w:rFonts w:ascii="宋体" w:hAnsi="宋体"/>
                <w:szCs w:val="21"/>
              </w:rPr>
            </w:pPr>
            <w:r>
              <w:rPr>
                <w:rFonts w:hint="eastAsia" w:ascii="宋体" w:hAnsi="宋体"/>
                <w:szCs w:val="21"/>
              </w:rPr>
              <w:t>2</w:t>
            </w:r>
          </w:p>
        </w:tc>
        <w:tc>
          <w:tcPr>
            <w:tcW w:w="1138" w:type="dxa"/>
            <w:vAlign w:val="center"/>
          </w:tcPr>
          <w:p>
            <w:pPr>
              <w:jc w:val="center"/>
              <w:rPr>
                <w:rFonts w:ascii="宋体" w:hAnsi="宋体"/>
                <w:szCs w:val="21"/>
              </w:rPr>
            </w:pPr>
            <w:r>
              <w:rPr>
                <w:rFonts w:hint="eastAsia" w:ascii="宋体" w:hAnsi="宋体"/>
                <w:szCs w:val="21"/>
              </w:rPr>
              <w:t>3</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5、推进集团化办学</w:t>
            </w:r>
          </w:p>
        </w:tc>
        <w:tc>
          <w:tcPr>
            <w:tcW w:w="1138" w:type="dxa"/>
            <w:vAlign w:val="center"/>
          </w:tcPr>
          <w:p>
            <w:pPr>
              <w:jc w:val="center"/>
              <w:rPr>
                <w:rFonts w:ascii="宋体" w:hAnsi="宋体"/>
                <w:szCs w:val="21"/>
              </w:rPr>
            </w:pPr>
            <w:r>
              <w:rPr>
                <w:rFonts w:hint="eastAsia" w:ascii="宋体" w:hAnsi="宋体"/>
                <w:szCs w:val="21"/>
              </w:rPr>
              <w:t>5</w:t>
            </w:r>
          </w:p>
        </w:tc>
        <w:tc>
          <w:tcPr>
            <w:tcW w:w="1138" w:type="dxa"/>
            <w:vAlign w:val="center"/>
          </w:tcPr>
          <w:p>
            <w:pPr>
              <w:jc w:val="center"/>
              <w:rPr>
                <w:rFonts w:ascii="宋体" w:hAnsi="宋体"/>
                <w:szCs w:val="21"/>
              </w:rPr>
            </w:pPr>
            <w:r>
              <w:rPr>
                <w:rFonts w:hint="eastAsia" w:ascii="宋体" w:hAnsi="宋体"/>
                <w:szCs w:val="21"/>
              </w:rPr>
              <w:t>2</w:t>
            </w:r>
          </w:p>
        </w:tc>
        <w:tc>
          <w:tcPr>
            <w:tcW w:w="1138" w:type="dxa"/>
            <w:vAlign w:val="center"/>
          </w:tcPr>
          <w:p>
            <w:pPr>
              <w:jc w:val="center"/>
              <w:rPr>
                <w:rFonts w:ascii="宋体" w:hAnsi="宋体"/>
                <w:szCs w:val="21"/>
              </w:rPr>
            </w:pPr>
            <w:r>
              <w:rPr>
                <w:rFonts w:hint="eastAsia" w:ascii="宋体" w:hAnsi="宋体"/>
                <w:szCs w:val="21"/>
              </w:rPr>
              <w:t>2</w:t>
            </w:r>
          </w:p>
        </w:tc>
        <w:tc>
          <w:tcPr>
            <w:tcW w:w="1324" w:type="dxa"/>
            <w:vAlign w:val="center"/>
          </w:tcPr>
          <w:p>
            <w:pPr>
              <w:jc w:val="center"/>
              <w:rPr>
                <w:rFonts w:ascii="宋体" w:hAnsi="宋体"/>
                <w:szCs w:val="21"/>
              </w:rPr>
            </w:pPr>
            <w:r>
              <w:rPr>
                <w:rFonts w:hint="eastAsia" w:ascii="宋体" w:hAnsi="宋体"/>
                <w:szCs w:val="21"/>
              </w:rPr>
              <w:t>1</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6、现代学徒制试点</w:t>
            </w:r>
          </w:p>
        </w:tc>
        <w:tc>
          <w:tcPr>
            <w:tcW w:w="1138" w:type="dxa"/>
            <w:vAlign w:val="center"/>
          </w:tcPr>
          <w:p>
            <w:pPr>
              <w:jc w:val="center"/>
              <w:rPr>
                <w:rFonts w:ascii="宋体" w:hAnsi="宋体"/>
                <w:szCs w:val="21"/>
              </w:rPr>
            </w:pPr>
            <w:r>
              <w:rPr>
                <w:rFonts w:hint="eastAsia" w:ascii="宋体" w:hAnsi="宋体"/>
                <w:szCs w:val="21"/>
              </w:rPr>
              <w:t>4</w:t>
            </w:r>
          </w:p>
        </w:tc>
        <w:tc>
          <w:tcPr>
            <w:tcW w:w="1138" w:type="dxa"/>
            <w:vAlign w:val="center"/>
          </w:tcPr>
          <w:p>
            <w:pPr>
              <w:jc w:val="center"/>
              <w:rPr>
                <w:rFonts w:ascii="宋体" w:hAnsi="宋体"/>
                <w:szCs w:val="21"/>
              </w:rPr>
            </w:pPr>
            <w:r>
              <w:rPr>
                <w:rFonts w:hint="eastAsia" w:ascii="宋体" w:hAnsi="宋体"/>
                <w:szCs w:val="21"/>
              </w:rPr>
              <w:t>2</w:t>
            </w:r>
          </w:p>
        </w:tc>
        <w:tc>
          <w:tcPr>
            <w:tcW w:w="1138" w:type="dxa"/>
            <w:vAlign w:val="center"/>
          </w:tcPr>
          <w:p>
            <w:pPr>
              <w:jc w:val="center"/>
              <w:rPr>
                <w:rFonts w:ascii="宋体" w:hAnsi="宋体"/>
                <w:szCs w:val="21"/>
              </w:rPr>
            </w:pPr>
            <w:r>
              <w:rPr>
                <w:rFonts w:hint="eastAsia" w:ascii="宋体" w:hAnsi="宋体"/>
                <w:szCs w:val="21"/>
              </w:rPr>
              <w:t>2</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restart"/>
            <w:vAlign w:val="center"/>
          </w:tcPr>
          <w:p>
            <w:pPr>
              <w:jc w:val="center"/>
              <w:rPr>
                <w:rFonts w:ascii="宋体" w:hAnsi="宋体"/>
                <w:szCs w:val="21"/>
              </w:rPr>
            </w:pPr>
            <w:r>
              <w:rPr>
                <w:rFonts w:hint="eastAsia" w:ascii="宋体" w:hAnsi="宋体"/>
                <w:szCs w:val="21"/>
              </w:rPr>
              <w:t>二、推进专业特色发展</w:t>
            </w:r>
          </w:p>
        </w:tc>
        <w:tc>
          <w:tcPr>
            <w:tcW w:w="2774" w:type="dxa"/>
            <w:vAlign w:val="center"/>
          </w:tcPr>
          <w:p>
            <w:pPr>
              <w:rPr>
                <w:rFonts w:ascii="宋体" w:hAnsi="宋体"/>
                <w:szCs w:val="21"/>
              </w:rPr>
            </w:pPr>
            <w:r>
              <w:rPr>
                <w:rFonts w:hint="eastAsia" w:ascii="宋体" w:hAnsi="宋体"/>
                <w:szCs w:val="21"/>
              </w:rPr>
              <w:t>1、专业机制建设</w:t>
            </w:r>
          </w:p>
        </w:tc>
        <w:tc>
          <w:tcPr>
            <w:tcW w:w="1138" w:type="dxa"/>
            <w:vAlign w:val="center"/>
          </w:tcPr>
          <w:p>
            <w:pPr>
              <w:jc w:val="center"/>
              <w:rPr>
                <w:rFonts w:ascii="宋体" w:hAnsi="宋体"/>
                <w:szCs w:val="21"/>
              </w:rPr>
            </w:pPr>
            <w:r>
              <w:rPr>
                <w:rFonts w:hint="eastAsia" w:ascii="宋体" w:hAnsi="宋体"/>
                <w:szCs w:val="21"/>
              </w:rPr>
              <w:t>6</w:t>
            </w:r>
          </w:p>
        </w:tc>
        <w:tc>
          <w:tcPr>
            <w:tcW w:w="1138" w:type="dxa"/>
            <w:vAlign w:val="center"/>
          </w:tcPr>
          <w:p>
            <w:pPr>
              <w:jc w:val="center"/>
              <w:rPr>
                <w:rFonts w:ascii="宋体" w:hAnsi="宋体"/>
                <w:szCs w:val="21"/>
              </w:rPr>
            </w:pPr>
            <w:r>
              <w:rPr>
                <w:rFonts w:hint="eastAsia" w:ascii="宋体" w:hAnsi="宋体"/>
                <w:szCs w:val="21"/>
              </w:rPr>
              <w:t>5</w:t>
            </w:r>
          </w:p>
        </w:tc>
        <w:tc>
          <w:tcPr>
            <w:tcW w:w="1138" w:type="dxa"/>
            <w:vAlign w:val="center"/>
          </w:tcPr>
          <w:p>
            <w:pPr>
              <w:jc w:val="center"/>
              <w:rPr>
                <w:rFonts w:ascii="宋体" w:hAnsi="宋体"/>
                <w:szCs w:val="21"/>
              </w:rPr>
            </w:pPr>
            <w:r>
              <w:rPr>
                <w:rFonts w:hint="eastAsia" w:ascii="宋体" w:hAnsi="宋体"/>
                <w:szCs w:val="21"/>
              </w:rPr>
              <w:t>1</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2、人才培养模式改革</w:t>
            </w:r>
          </w:p>
        </w:tc>
        <w:tc>
          <w:tcPr>
            <w:tcW w:w="1138" w:type="dxa"/>
            <w:vAlign w:val="center"/>
          </w:tcPr>
          <w:p>
            <w:pPr>
              <w:jc w:val="center"/>
              <w:rPr>
                <w:rFonts w:ascii="宋体" w:hAnsi="宋体"/>
                <w:szCs w:val="21"/>
              </w:rPr>
            </w:pPr>
            <w:r>
              <w:rPr>
                <w:rFonts w:hint="eastAsia" w:ascii="宋体" w:hAnsi="宋体"/>
                <w:szCs w:val="21"/>
              </w:rPr>
              <w:t>5</w:t>
            </w:r>
          </w:p>
        </w:tc>
        <w:tc>
          <w:tcPr>
            <w:tcW w:w="1138" w:type="dxa"/>
            <w:vAlign w:val="center"/>
          </w:tcPr>
          <w:p>
            <w:pPr>
              <w:jc w:val="center"/>
              <w:rPr>
                <w:rFonts w:ascii="宋体" w:hAnsi="宋体"/>
                <w:szCs w:val="21"/>
              </w:rPr>
            </w:pPr>
            <w:r>
              <w:rPr>
                <w:rFonts w:hint="eastAsia" w:ascii="宋体" w:hAnsi="宋体"/>
                <w:szCs w:val="21"/>
              </w:rPr>
              <w:t>3</w:t>
            </w:r>
          </w:p>
        </w:tc>
        <w:tc>
          <w:tcPr>
            <w:tcW w:w="1138" w:type="dxa"/>
            <w:vAlign w:val="center"/>
          </w:tcPr>
          <w:p>
            <w:pPr>
              <w:jc w:val="center"/>
              <w:rPr>
                <w:rFonts w:ascii="宋体" w:hAnsi="宋体"/>
                <w:szCs w:val="21"/>
              </w:rPr>
            </w:pPr>
            <w:r>
              <w:rPr>
                <w:rFonts w:hint="eastAsia" w:ascii="宋体" w:hAnsi="宋体"/>
                <w:szCs w:val="21"/>
              </w:rPr>
              <w:t>2</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3、课程体系改革</w:t>
            </w:r>
          </w:p>
        </w:tc>
        <w:tc>
          <w:tcPr>
            <w:tcW w:w="1138" w:type="dxa"/>
            <w:vAlign w:val="center"/>
          </w:tcPr>
          <w:p>
            <w:pPr>
              <w:jc w:val="center"/>
              <w:rPr>
                <w:rFonts w:ascii="宋体" w:hAnsi="宋体"/>
                <w:szCs w:val="21"/>
              </w:rPr>
            </w:pPr>
            <w:r>
              <w:rPr>
                <w:rFonts w:hint="eastAsia" w:ascii="宋体" w:hAnsi="宋体"/>
                <w:szCs w:val="21"/>
              </w:rPr>
              <w:t>6</w:t>
            </w:r>
          </w:p>
        </w:tc>
        <w:tc>
          <w:tcPr>
            <w:tcW w:w="1138" w:type="dxa"/>
            <w:vAlign w:val="center"/>
          </w:tcPr>
          <w:p>
            <w:pPr>
              <w:jc w:val="center"/>
              <w:rPr>
                <w:rFonts w:ascii="宋体" w:hAnsi="宋体"/>
                <w:szCs w:val="21"/>
              </w:rPr>
            </w:pPr>
            <w:r>
              <w:rPr>
                <w:rFonts w:hint="eastAsia" w:ascii="宋体" w:hAnsi="宋体"/>
                <w:szCs w:val="21"/>
              </w:rPr>
              <w:t>3</w:t>
            </w:r>
          </w:p>
        </w:tc>
        <w:tc>
          <w:tcPr>
            <w:tcW w:w="1138" w:type="dxa"/>
            <w:vAlign w:val="center"/>
          </w:tcPr>
          <w:p>
            <w:pPr>
              <w:jc w:val="center"/>
              <w:rPr>
                <w:rFonts w:ascii="宋体" w:hAnsi="宋体"/>
                <w:szCs w:val="21"/>
              </w:rPr>
            </w:pPr>
            <w:r>
              <w:rPr>
                <w:rFonts w:hint="eastAsia" w:ascii="宋体" w:hAnsi="宋体"/>
                <w:szCs w:val="21"/>
              </w:rPr>
              <w:t>2</w:t>
            </w:r>
          </w:p>
        </w:tc>
        <w:tc>
          <w:tcPr>
            <w:tcW w:w="1324" w:type="dxa"/>
            <w:vAlign w:val="center"/>
          </w:tcPr>
          <w:p>
            <w:pPr>
              <w:jc w:val="center"/>
              <w:rPr>
                <w:rFonts w:ascii="宋体" w:hAnsi="宋体"/>
                <w:szCs w:val="21"/>
              </w:rPr>
            </w:pPr>
            <w:r>
              <w:rPr>
                <w:rFonts w:hint="eastAsia" w:ascii="宋体" w:hAnsi="宋体"/>
                <w:szCs w:val="21"/>
              </w:rPr>
              <w:t>1</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ind w:firstLine="422"/>
              <w:jc w:val="center"/>
              <w:rPr>
                <w:rFonts w:ascii="宋体" w:hAnsi="宋体"/>
                <w:b/>
                <w:szCs w:val="21"/>
              </w:rPr>
            </w:pPr>
          </w:p>
        </w:tc>
        <w:tc>
          <w:tcPr>
            <w:tcW w:w="2774" w:type="dxa"/>
            <w:vAlign w:val="center"/>
          </w:tcPr>
          <w:p>
            <w:pPr>
              <w:rPr>
                <w:rFonts w:ascii="宋体" w:hAnsi="宋体"/>
                <w:szCs w:val="21"/>
              </w:rPr>
            </w:pPr>
            <w:r>
              <w:rPr>
                <w:rFonts w:hint="eastAsia" w:ascii="宋体" w:hAnsi="宋体"/>
                <w:szCs w:val="21"/>
              </w:rPr>
              <w:t>4、教学模式改革</w:t>
            </w:r>
          </w:p>
        </w:tc>
        <w:tc>
          <w:tcPr>
            <w:tcW w:w="1138" w:type="dxa"/>
            <w:vAlign w:val="center"/>
          </w:tcPr>
          <w:p>
            <w:pPr>
              <w:jc w:val="center"/>
              <w:rPr>
                <w:rFonts w:ascii="宋体" w:hAnsi="宋体"/>
                <w:szCs w:val="21"/>
              </w:rPr>
            </w:pPr>
            <w:r>
              <w:rPr>
                <w:rFonts w:hint="eastAsia" w:ascii="宋体" w:hAnsi="宋体"/>
                <w:szCs w:val="21"/>
              </w:rPr>
              <w:t>8</w:t>
            </w:r>
          </w:p>
        </w:tc>
        <w:tc>
          <w:tcPr>
            <w:tcW w:w="1138" w:type="dxa"/>
            <w:vAlign w:val="center"/>
          </w:tcPr>
          <w:p>
            <w:pPr>
              <w:jc w:val="center"/>
              <w:rPr>
                <w:rFonts w:ascii="宋体" w:hAnsi="宋体"/>
                <w:szCs w:val="21"/>
              </w:rPr>
            </w:pPr>
            <w:r>
              <w:rPr>
                <w:rFonts w:hint="eastAsia" w:ascii="宋体" w:hAnsi="宋体"/>
                <w:szCs w:val="21"/>
              </w:rPr>
              <w:t>4</w:t>
            </w:r>
          </w:p>
        </w:tc>
        <w:tc>
          <w:tcPr>
            <w:tcW w:w="1138" w:type="dxa"/>
            <w:vAlign w:val="center"/>
          </w:tcPr>
          <w:p>
            <w:pPr>
              <w:jc w:val="center"/>
              <w:rPr>
                <w:rFonts w:ascii="宋体" w:hAnsi="宋体"/>
                <w:szCs w:val="21"/>
              </w:rPr>
            </w:pPr>
            <w:r>
              <w:rPr>
                <w:rFonts w:hint="eastAsia" w:ascii="宋体" w:hAnsi="宋体"/>
                <w:szCs w:val="21"/>
              </w:rPr>
              <w:t>2</w:t>
            </w:r>
          </w:p>
        </w:tc>
        <w:tc>
          <w:tcPr>
            <w:tcW w:w="1324" w:type="dxa"/>
            <w:vAlign w:val="center"/>
          </w:tcPr>
          <w:p>
            <w:pPr>
              <w:jc w:val="center"/>
              <w:rPr>
                <w:rFonts w:ascii="宋体" w:hAnsi="宋体"/>
                <w:szCs w:val="21"/>
              </w:rPr>
            </w:pPr>
            <w:r>
              <w:rPr>
                <w:rFonts w:hint="eastAsia" w:ascii="宋体" w:hAnsi="宋体"/>
                <w:szCs w:val="21"/>
              </w:rPr>
              <w:t>2</w:t>
            </w:r>
          </w:p>
        </w:tc>
        <w:tc>
          <w:tcPr>
            <w:tcW w:w="820" w:type="dxa"/>
            <w:vAlign w:val="center"/>
          </w:tcPr>
          <w:p>
            <w:pPr>
              <w:ind w:firstLine="422"/>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ind w:firstLine="422"/>
              <w:jc w:val="center"/>
              <w:rPr>
                <w:rFonts w:ascii="宋体" w:hAnsi="宋体"/>
                <w:b/>
                <w:szCs w:val="21"/>
              </w:rPr>
            </w:pPr>
          </w:p>
        </w:tc>
        <w:tc>
          <w:tcPr>
            <w:tcW w:w="2774" w:type="dxa"/>
            <w:vAlign w:val="center"/>
          </w:tcPr>
          <w:p>
            <w:pPr>
              <w:rPr>
                <w:rFonts w:ascii="宋体" w:hAnsi="宋体"/>
                <w:szCs w:val="21"/>
              </w:rPr>
            </w:pPr>
            <w:r>
              <w:rPr>
                <w:rFonts w:hint="eastAsia" w:ascii="宋体" w:hAnsi="宋体"/>
                <w:szCs w:val="21"/>
              </w:rPr>
              <w:t>5、评价模式改革</w:t>
            </w:r>
          </w:p>
        </w:tc>
        <w:tc>
          <w:tcPr>
            <w:tcW w:w="1138" w:type="dxa"/>
            <w:vAlign w:val="center"/>
          </w:tcPr>
          <w:p>
            <w:pPr>
              <w:jc w:val="center"/>
              <w:rPr>
                <w:rFonts w:ascii="宋体" w:hAnsi="宋体"/>
                <w:szCs w:val="21"/>
              </w:rPr>
            </w:pPr>
            <w:r>
              <w:rPr>
                <w:rFonts w:hint="eastAsia" w:ascii="宋体" w:hAnsi="宋体"/>
                <w:szCs w:val="21"/>
              </w:rPr>
              <w:t>7</w:t>
            </w:r>
          </w:p>
        </w:tc>
        <w:tc>
          <w:tcPr>
            <w:tcW w:w="1138" w:type="dxa"/>
            <w:vAlign w:val="center"/>
          </w:tcPr>
          <w:p>
            <w:pPr>
              <w:jc w:val="center"/>
              <w:rPr>
                <w:rFonts w:ascii="宋体" w:hAnsi="宋体"/>
                <w:szCs w:val="21"/>
              </w:rPr>
            </w:pPr>
            <w:r>
              <w:rPr>
                <w:rFonts w:hint="eastAsia" w:ascii="宋体" w:hAnsi="宋体"/>
                <w:szCs w:val="21"/>
              </w:rPr>
              <w:t>4</w:t>
            </w:r>
          </w:p>
        </w:tc>
        <w:tc>
          <w:tcPr>
            <w:tcW w:w="1138" w:type="dxa"/>
            <w:vAlign w:val="center"/>
          </w:tcPr>
          <w:p>
            <w:pPr>
              <w:jc w:val="center"/>
              <w:rPr>
                <w:rFonts w:ascii="宋体" w:hAnsi="宋体"/>
                <w:szCs w:val="21"/>
              </w:rPr>
            </w:pPr>
            <w:r>
              <w:rPr>
                <w:rFonts w:hint="eastAsia" w:ascii="宋体" w:hAnsi="宋体"/>
                <w:szCs w:val="21"/>
              </w:rPr>
              <w:t>2</w:t>
            </w:r>
          </w:p>
        </w:tc>
        <w:tc>
          <w:tcPr>
            <w:tcW w:w="1324" w:type="dxa"/>
            <w:vAlign w:val="center"/>
          </w:tcPr>
          <w:p>
            <w:pPr>
              <w:jc w:val="center"/>
              <w:rPr>
                <w:rFonts w:ascii="宋体" w:hAnsi="宋体"/>
                <w:szCs w:val="21"/>
              </w:rPr>
            </w:pPr>
            <w:r>
              <w:rPr>
                <w:rFonts w:hint="eastAsia" w:ascii="宋体" w:hAnsi="宋体"/>
                <w:szCs w:val="21"/>
              </w:rPr>
              <w:t>1</w:t>
            </w:r>
          </w:p>
        </w:tc>
        <w:tc>
          <w:tcPr>
            <w:tcW w:w="820" w:type="dxa"/>
            <w:vAlign w:val="center"/>
          </w:tcPr>
          <w:p>
            <w:pPr>
              <w:ind w:firstLine="422"/>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restart"/>
            <w:vAlign w:val="center"/>
          </w:tcPr>
          <w:p>
            <w:pPr>
              <w:jc w:val="center"/>
              <w:rPr>
                <w:rFonts w:ascii="宋体" w:hAnsi="宋体"/>
                <w:szCs w:val="21"/>
              </w:rPr>
            </w:pPr>
            <w:r>
              <w:rPr>
                <w:rFonts w:hint="eastAsia" w:ascii="宋体" w:hAnsi="宋体"/>
                <w:szCs w:val="21"/>
              </w:rPr>
              <w:t>三、坚持标准规范办学</w:t>
            </w:r>
          </w:p>
        </w:tc>
        <w:tc>
          <w:tcPr>
            <w:tcW w:w="2774" w:type="dxa"/>
            <w:vAlign w:val="center"/>
          </w:tcPr>
          <w:p>
            <w:pPr>
              <w:rPr>
                <w:rFonts w:ascii="宋体" w:hAnsi="宋体"/>
                <w:szCs w:val="21"/>
              </w:rPr>
            </w:pPr>
            <w:r>
              <w:rPr>
                <w:rFonts w:hint="eastAsia" w:ascii="宋体" w:hAnsi="宋体"/>
                <w:szCs w:val="21"/>
              </w:rPr>
              <w:t>1、建立规范办学制度体系</w:t>
            </w:r>
          </w:p>
        </w:tc>
        <w:tc>
          <w:tcPr>
            <w:tcW w:w="1138" w:type="dxa"/>
            <w:vAlign w:val="center"/>
          </w:tcPr>
          <w:p>
            <w:pPr>
              <w:jc w:val="center"/>
              <w:rPr>
                <w:rFonts w:ascii="宋体" w:hAnsi="宋体"/>
                <w:szCs w:val="21"/>
              </w:rPr>
            </w:pPr>
            <w:r>
              <w:rPr>
                <w:rFonts w:hint="eastAsia" w:ascii="宋体" w:hAnsi="宋体"/>
                <w:szCs w:val="21"/>
              </w:rPr>
              <w:t>6</w:t>
            </w:r>
          </w:p>
        </w:tc>
        <w:tc>
          <w:tcPr>
            <w:tcW w:w="1138" w:type="dxa"/>
            <w:vAlign w:val="center"/>
          </w:tcPr>
          <w:p>
            <w:pPr>
              <w:jc w:val="center"/>
              <w:rPr>
                <w:rFonts w:ascii="宋体" w:hAnsi="宋体"/>
                <w:szCs w:val="21"/>
              </w:rPr>
            </w:pPr>
            <w:r>
              <w:rPr>
                <w:rFonts w:hint="eastAsia" w:ascii="宋体" w:hAnsi="宋体"/>
                <w:szCs w:val="21"/>
              </w:rPr>
              <w:t>2</w:t>
            </w:r>
          </w:p>
        </w:tc>
        <w:tc>
          <w:tcPr>
            <w:tcW w:w="1138" w:type="dxa"/>
            <w:vAlign w:val="center"/>
          </w:tcPr>
          <w:p>
            <w:pPr>
              <w:jc w:val="center"/>
              <w:rPr>
                <w:rFonts w:ascii="宋体" w:hAnsi="宋体"/>
                <w:szCs w:val="21"/>
              </w:rPr>
            </w:pPr>
            <w:r>
              <w:rPr>
                <w:rFonts w:hint="eastAsia" w:ascii="宋体" w:hAnsi="宋体"/>
                <w:szCs w:val="21"/>
              </w:rPr>
              <w:t>3</w:t>
            </w:r>
          </w:p>
        </w:tc>
        <w:tc>
          <w:tcPr>
            <w:tcW w:w="1324" w:type="dxa"/>
            <w:vAlign w:val="center"/>
          </w:tcPr>
          <w:p>
            <w:pPr>
              <w:jc w:val="center"/>
              <w:rPr>
                <w:rFonts w:ascii="宋体" w:hAnsi="宋体"/>
                <w:szCs w:val="21"/>
              </w:rPr>
            </w:pPr>
            <w:r>
              <w:rPr>
                <w:rFonts w:hint="eastAsia" w:ascii="宋体" w:hAnsi="宋体"/>
                <w:szCs w:val="21"/>
              </w:rPr>
              <w:t>1</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2、建立规范办学保障机制</w:t>
            </w:r>
          </w:p>
        </w:tc>
        <w:tc>
          <w:tcPr>
            <w:tcW w:w="1138" w:type="dxa"/>
            <w:vAlign w:val="center"/>
          </w:tcPr>
          <w:p>
            <w:pPr>
              <w:jc w:val="center"/>
              <w:rPr>
                <w:rFonts w:ascii="宋体" w:hAnsi="宋体"/>
                <w:szCs w:val="21"/>
              </w:rPr>
            </w:pPr>
            <w:r>
              <w:rPr>
                <w:rFonts w:hint="eastAsia" w:ascii="宋体" w:hAnsi="宋体"/>
                <w:szCs w:val="21"/>
              </w:rPr>
              <w:t>6</w:t>
            </w:r>
          </w:p>
        </w:tc>
        <w:tc>
          <w:tcPr>
            <w:tcW w:w="1138" w:type="dxa"/>
            <w:vAlign w:val="center"/>
          </w:tcPr>
          <w:p>
            <w:pPr>
              <w:jc w:val="center"/>
              <w:rPr>
                <w:rFonts w:ascii="宋体" w:hAnsi="宋体"/>
                <w:szCs w:val="21"/>
              </w:rPr>
            </w:pPr>
            <w:r>
              <w:rPr>
                <w:rFonts w:hint="eastAsia" w:ascii="宋体" w:hAnsi="宋体"/>
                <w:szCs w:val="21"/>
              </w:rPr>
              <w:t>3</w:t>
            </w:r>
          </w:p>
        </w:tc>
        <w:tc>
          <w:tcPr>
            <w:tcW w:w="1138" w:type="dxa"/>
            <w:vAlign w:val="center"/>
          </w:tcPr>
          <w:p>
            <w:pPr>
              <w:jc w:val="center"/>
              <w:rPr>
                <w:rFonts w:ascii="宋体" w:hAnsi="宋体"/>
                <w:szCs w:val="21"/>
              </w:rPr>
            </w:pPr>
            <w:r>
              <w:rPr>
                <w:rFonts w:hint="eastAsia" w:ascii="宋体" w:hAnsi="宋体"/>
                <w:szCs w:val="21"/>
              </w:rPr>
              <w:t>3</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3、落实立德树人根本任务</w:t>
            </w:r>
          </w:p>
        </w:tc>
        <w:tc>
          <w:tcPr>
            <w:tcW w:w="1138" w:type="dxa"/>
            <w:vAlign w:val="center"/>
          </w:tcPr>
          <w:p>
            <w:pPr>
              <w:jc w:val="center"/>
              <w:rPr>
                <w:rFonts w:ascii="宋体" w:hAnsi="宋体"/>
                <w:szCs w:val="21"/>
              </w:rPr>
            </w:pPr>
            <w:r>
              <w:rPr>
                <w:rFonts w:hint="eastAsia" w:ascii="宋体" w:hAnsi="宋体"/>
                <w:szCs w:val="21"/>
              </w:rPr>
              <w:t>5</w:t>
            </w:r>
          </w:p>
        </w:tc>
        <w:tc>
          <w:tcPr>
            <w:tcW w:w="1138" w:type="dxa"/>
            <w:vAlign w:val="center"/>
          </w:tcPr>
          <w:p>
            <w:pPr>
              <w:jc w:val="center"/>
              <w:rPr>
                <w:rFonts w:ascii="宋体" w:hAnsi="宋体"/>
                <w:szCs w:val="21"/>
              </w:rPr>
            </w:pPr>
            <w:r>
              <w:rPr>
                <w:rFonts w:hint="eastAsia" w:ascii="宋体" w:hAnsi="宋体"/>
                <w:szCs w:val="21"/>
              </w:rPr>
              <w:t>3</w:t>
            </w:r>
          </w:p>
        </w:tc>
        <w:tc>
          <w:tcPr>
            <w:tcW w:w="1138" w:type="dxa"/>
            <w:vAlign w:val="center"/>
          </w:tcPr>
          <w:p>
            <w:pPr>
              <w:jc w:val="center"/>
              <w:rPr>
                <w:rFonts w:ascii="宋体" w:hAnsi="宋体"/>
                <w:szCs w:val="21"/>
              </w:rPr>
            </w:pPr>
            <w:r>
              <w:rPr>
                <w:rFonts w:hint="eastAsia" w:ascii="宋体" w:hAnsi="宋体"/>
                <w:szCs w:val="21"/>
              </w:rPr>
              <w:t>2</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restart"/>
            <w:vAlign w:val="center"/>
          </w:tcPr>
          <w:p>
            <w:pPr>
              <w:jc w:val="center"/>
              <w:rPr>
                <w:rFonts w:ascii="宋体" w:hAnsi="宋体"/>
                <w:szCs w:val="21"/>
              </w:rPr>
            </w:pPr>
            <w:r>
              <w:rPr>
                <w:rFonts w:hint="eastAsia" w:ascii="宋体" w:hAnsi="宋体"/>
                <w:szCs w:val="21"/>
              </w:rPr>
              <w:t>四、打造特色师资队伍</w:t>
            </w:r>
          </w:p>
        </w:tc>
        <w:tc>
          <w:tcPr>
            <w:tcW w:w="2774" w:type="dxa"/>
            <w:vAlign w:val="center"/>
          </w:tcPr>
          <w:p>
            <w:pPr>
              <w:rPr>
                <w:rFonts w:ascii="宋体" w:hAnsi="宋体"/>
                <w:szCs w:val="21"/>
              </w:rPr>
            </w:pPr>
            <w:r>
              <w:rPr>
                <w:rFonts w:hint="eastAsia" w:ascii="宋体" w:hAnsi="宋体"/>
                <w:szCs w:val="21"/>
              </w:rPr>
              <w:t>1、教师培养机制建设</w:t>
            </w:r>
          </w:p>
        </w:tc>
        <w:tc>
          <w:tcPr>
            <w:tcW w:w="1138" w:type="dxa"/>
            <w:vAlign w:val="center"/>
          </w:tcPr>
          <w:p>
            <w:pPr>
              <w:jc w:val="center"/>
              <w:rPr>
                <w:rFonts w:ascii="宋体" w:hAnsi="宋体"/>
                <w:szCs w:val="21"/>
              </w:rPr>
            </w:pPr>
            <w:r>
              <w:rPr>
                <w:rFonts w:hint="eastAsia" w:ascii="宋体" w:hAnsi="宋体"/>
                <w:szCs w:val="21"/>
              </w:rPr>
              <w:t>5</w:t>
            </w:r>
          </w:p>
        </w:tc>
        <w:tc>
          <w:tcPr>
            <w:tcW w:w="1138" w:type="dxa"/>
            <w:vAlign w:val="center"/>
          </w:tcPr>
          <w:p>
            <w:pPr>
              <w:jc w:val="center"/>
              <w:rPr>
                <w:rFonts w:ascii="宋体" w:hAnsi="宋体"/>
                <w:szCs w:val="21"/>
              </w:rPr>
            </w:pPr>
            <w:r>
              <w:rPr>
                <w:rFonts w:hint="eastAsia" w:ascii="宋体" w:hAnsi="宋体"/>
                <w:szCs w:val="21"/>
              </w:rPr>
              <w:t>2</w:t>
            </w:r>
          </w:p>
        </w:tc>
        <w:tc>
          <w:tcPr>
            <w:tcW w:w="1138" w:type="dxa"/>
            <w:vAlign w:val="center"/>
          </w:tcPr>
          <w:p>
            <w:pPr>
              <w:jc w:val="center"/>
              <w:rPr>
                <w:rFonts w:ascii="宋体" w:hAnsi="宋体"/>
                <w:szCs w:val="21"/>
              </w:rPr>
            </w:pPr>
            <w:r>
              <w:rPr>
                <w:rFonts w:hint="eastAsia" w:ascii="宋体" w:hAnsi="宋体"/>
                <w:szCs w:val="21"/>
              </w:rPr>
              <w:t>1</w:t>
            </w:r>
          </w:p>
        </w:tc>
        <w:tc>
          <w:tcPr>
            <w:tcW w:w="1324" w:type="dxa"/>
            <w:vAlign w:val="center"/>
          </w:tcPr>
          <w:p>
            <w:pPr>
              <w:jc w:val="center"/>
              <w:rPr>
                <w:rFonts w:ascii="宋体" w:hAnsi="宋体"/>
                <w:szCs w:val="21"/>
              </w:rPr>
            </w:pPr>
            <w:r>
              <w:rPr>
                <w:rFonts w:hint="eastAsia" w:ascii="宋体" w:hAnsi="宋体"/>
                <w:szCs w:val="21"/>
              </w:rPr>
              <w:t>2</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2、分类分层培养</w:t>
            </w:r>
          </w:p>
        </w:tc>
        <w:tc>
          <w:tcPr>
            <w:tcW w:w="1138" w:type="dxa"/>
            <w:vAlign w:val="center"/>
          </w:tcPr>
          <w:p>
            <w:pPr>
              <w:jc w:val="center"/>
              <w:rPr>
                <w:rFonts w:ascii="宋体" w:hAnsi="宋体"/>
                <w:szCs w:val="21"/>
              </w:rPr>
            </w:pPr>
            <w:r>
              <w:rPr>
                <w:rFonts w:hint="eastAsia" w:ascii="宋体" w:hAnsi="宋体"/>
                <w:szCs w:val="21"/>
              </w:rPr>
              <w:t>18</w:t>
            </w:r>
          </w:p>
        </w:tc>
        <w:tc>
          <w:tcPr>
            <w:tcW w:w="1138" w:type="dxa"/>
            <w:vAlign w:val="center"/>
          </w:tcPr>
          <w:p>
            <w:pPr>
              <w:jc w:val="center"/>
              <w:rPr>
                <w:rFonts w:ascii="宋体" w:hAnsi="宋体"/>
                <w:szCs w:val="21"/>
              </w:rPr>
            </w:pPr>
            <w:r>
              <w:rPr>
                <w:rFonts w:hint="eastAsia" w:ascii="宋体" w:hAnsi="宋体"/>
                <w:szCs w:val="21"/>
              </w:rPr>
              <w:t>10</w:t>
            </w:r>
          </w:p>
        </w:tc>
        <w:tc>
          <w:tcPr>
            <w:tcW w:w="1138" w:type="dxa"/>
            <w:vAlign w:val="center"/>
          </w:tcPr>
          <w:p>
            <w:pPr>
              <w:jc w:val="center"/>
              <w:rPr>
                <w:rFonts w:ascii="宋体" w:hAnsi="宋体"/>
                <w:szCs w:val="21"/>
              </w:rPr>
            </w:pPr>
            <w:r>
              <w:rPr>
                <w:rFonts w:hint="eastAsia" w:ascii="宋体" w:hAnsi="宋体"/>
                <w:szCs w:val="21"/>
              </w:rPr>
              <w:t>4</w:t>
            </w:r>
          </w:p>
        </w:tc>
        <w:tc>
          <w:tcPr>
            <w:tcW w:w="1324" w:type="dxa"/>
            <w:vAlign w:val="center"/>
          </w:tcPr>
          <w:p>
            <w:pPr>
              <w:jc w:val="center"/>
              <w:rPr>
                <w:rFonts w:ascii="宋体" w:hAnsi="宋体"/>
                <w:szCs w:val="21"/>
              </w:rPr>
            </w:pPr>
            <w:r>
              <w:rPr>
                <w:rFonts w:hint="eastAsia" w:ascii="宋体" w:hAnsi="宋体"/>
                <w:szCs w:val="21"/>
              </w:rPr>
              <w:t>4</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3、双师型教师培养</w:t>
            </w:r>
          </w:p>
        </w:tc>
        <w:tc>
          <w:tcPr>
            <w:tcW w:w="1138" w:type="dxa"/>
            <w:vAlign w:val="center"/>
          </w:tcPr>
          <w:p>
            <w:pPr>
              <w:jc w:val="center"/>
              <w:rPr>
                <w:rFonts w:ascii="宋体" w:hAnsi="宋体"/>
                <w:szCs w:val="21"/>
              </w:rPr>
            </w:pPr>
            <w:r>
              <w:rPr>
                <w:rFonts w:hint="eastAsia" w:ascii="宋体" w:hAnsi="宋体"/>
                <w:szCs w:val="21"/>
              </w:rPr>
              <w:t>6</w:t>
            </w:r>
          </w:p>
        </w:tc>
        <w:tc>
          <w:tcPr>
            <w:tcW w:w="1138" w:type="dxa"/>
            <w:vAlign w:val="center"/>
          </w:tcPr>
          <w:p>
            <w:pPr>
              <w:jc w:val="center"/>
              <w:rPr>
                <w:rFonts w:ascii="宋体" w:hAnsi="宋体"/>
                <w:szCs w:val="21"/>
              </w:rPr>
            </w:pPr>
            <w:r>
              <w:rPr>
                <w:rFonts w:hint="eastAsia" w:ascii="宋体" w:hAnsi="宋体"/>
                <w:szCs w:val="21"/>
              </w:rPr>
              <w:t>2</w:t>
            </w:r>
          </w:p>
        </w:tc>
        <w:tc>
          <w:tcPr>
            <w:tcW w:w="1138" w:type="dxa"/>
            <w:vAlign w:val="center"/>
          </w:tcPr>
          <w:p>
            <w:pPr>
              <w:jc w:val="center"/>
              <w:rPr>
                <w:rFonts w:ascii="宋体" w:hAnsi="宋体"/>
                <w:szCs w:val="21"/>
              </w:rPr>
            </w:pPr>
            <w:r>
              <w:rPr>
                <w:rFonts w:hint="eastAsia" w:ascii="宋体" w:hAnsi="宋体"/>
                <w:szCs w:val="21"/>
              </w:rPr>
              <w:t>1</w:t>
            </w:r>
          </w:p>
        </w:tc>
        <w:tc>
          <w:tcPr>
            <w:tcW w:w="1324" w:type="dxa"/>
            <w:vAlign w:val="center"/>
          </w:tcPr>
          <w:p>
            <w:pPr>
              <w:jc w:val="center"/>
              <w:rPr>
                <w:rFonts w:ascii="宋体" w:hAnsi="宋体"/>
                <w:szCs w:val="21"/>
              </w:rPr>
            </w:pPr>
            <w:r>
              <w:rPr>
                <w:rFonts w:hint="eastAsia" w:ascii="宋体" w:hAnsi="宋体"/>
                <w:szCs w:val="21"/>
              </w:rPr>
              <w:t>3</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4、兼职教师队伍建设</w:t>
            </w:r>
          </w:p>
        </w:tc>
        <w:tc>
          <w:tcPr>
            <w:tcW w:w="1138" w:type="dxa"/>
            <w:vAlign w:val="center"/>
          </w:tcPr>
          <w:p>
            <w:pPr>
              <w:jc w:val="center"/>
              <w:rPr>
                <w:rFonts w:ascii="宋体" w:hAnsi="宋体"/>
                <w:szCs w:val="21"/>
              </w:rPr>
            </w:pPr>
            <w:r>
              <w:rPr>
                <w:rFonts w:hint="eastAsia" w:ascii="宋体" w:hAnsi="宋体"/>
                <w:szCs w:val="21"/>
              </w:rPr>
              <w:t>8</w:t>
            </w:r>
          </w:p>
        </w:tc>
        <w:tc>
          <w:tcPr>
            <w:tcW w:w="1138" w:type="dxa"/>
            <w:vAlign w:val="center"/>
          </w:tcPr>
          <w:p>
            <w:pPr>
              <w:jc w:val="center"/>
              <w:rPr>
                <w:rFonts w:ascii="宋体" w:hAnsi="宋体"/>
                <w:szCs w:val="21"/>
              </w:rPr>
            </w:pPr>
            <w:r>
              <w:rPr>
                <w:rFonts w:hint="eastAsia" w:ascii="宋体" w:hAnsi="宋体"/>
                <w:szCs w:val="21"/>
              </w:rPr>
              <w:t>3</w:t>
            </w:r>
          </w:p>
        </w:tc>
        <w:tc>
          <w:tcPr>
            <w:tcW w:w="1138" w:type="dxa"/>
            <w:vAlign w:val="center"/>
          </w:tcPr>
          <w:p>
            <w:pPr>
              <w:jc w:val="center"/>
              <w:rPr>
                <w:rFonts w:ascii="宋体" w:hAnsi="宋体"/>
                <w:szCs w:val="21"/>
              </w:rPr>
            </w:pPr>
            <w:r>
              <w:rPr>
                <w:rFonts w:hint="eastAsia" w:ascii="宋体" w:hAnsi="宋体"/>
                <w:szCs w:val="21"/>
              </w:rPr>
              <w:t>3</w:t>
            </w:r>
          </w:p>
        </w:tc>
        <w:tc>
          <w:tcPr>
            <w:tcW w:w="1324" w:type="dxa"/>
            <w:vAlign w:val="center"/>
          </w:tcPr>
          <w:p>
            <w:pPr>
              <w:jc w:val="center"/>
              <w:rPr>
                <w:rFonts w:ascii="宋体" w:hAnsi="宋体"/>
                <w:szCs w:val="21"/>
              </w:rPr>
            </w:pPr>
            <w:r>
              <w:rPr>
                <w:rFonts w:hint="eastAsia" w:ascii="宋体" w:hAnsi="宋体"/>
                <w:szCs w:val="21"/>
              </w:rPr>
              <w:t>2</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restart"/>
            <w:vAlign w:val="center"/>
          </w:tcPr>
          <w:p>
            <w:pPr>
              <w:jc w:val="center"/>
              <w:rPr>
                <w:rFonts w:ascii="宋体" w:hAnsi="宋体"/>
                <w:szCs w:val="21"/>
              </w:rPr>
            </w:pPr>
            <w:r>
              <w:rPr>
                <w:rFonts w:hint="eastAsia" w:ascii="宋体" w:hAnsi="宋体"/>
                <w:szCs w:val="21"/>
              </w:rPr>
              <w:t>五、全面推进信息化建设</w:t>
            </w:r>
          </w:p>
        </w:tc>
        <w:tc>
          <w:tcPr>
            <w:tcW w:w="2774" w:type="dxa"/>
            <w:vAlign w:val="center"/>
          </w:tcPr>
          <w:p>
            <w:pPr>
              <w:rPr>
                <w:rFonts w:ascii="宋体" w:hAnsi="宋体"/>
                <w:szCs w:val="21"/>
              </w:rPr>
            </w:pPr>
            <w:r>
              <w:rPr>
                <w:rFonts w:hint="eastAsia" w:ascii="宋体" w:hAnsi="宋体"/>
                <w:szCs w:val="21"/>
              </w:rPr>
              <w:t>1、构建信息化管理体系</w:t>
            </w:r>
          </w:p>
        </w:tc>
        <w:tc>
          <w:tcPr>
            <w:tcW w:w="1138" w:type="dxa"/>
            <w:vAlign w:val="center"/>
          </w:tcPr>
          <w:p>
            <w:pPr>
              <w:jc w:val="center"/>
              <w:rPr>
                <w:rFonts w:ascii="宋体" w:hAnsi="宋体"/>
                <w:szCs w:val="21"/>
              </w:rPr>
            </w:pPr>
            <w:r>
              <w:rPr>
                <w:rFonts w:hint="eastAsia" w:ascii="宋体" w:hAnsi="宋体"/>
                <w:szCs w:val="21"/>
              </w:rPr>
              <w:t>6</w:t>
            </w:r>
          </w:p>
        </w:tc>
        <w:tc>
          <w:tcPr>
            <w:tcW w:w="1138" w:type="dxa"/>
            <w:vAlign w:val="center"/>
          </w:tcPr>
          <w:p>
            <w:pPr>
              <w:jc w:val="center"/>
              <w:rPr>
                <w:rFonts w:ascii="宋体" w:hAnsi="宋体"/>
                <w:szCs w:val="21"/>
              </w:rPr>
            </w:pPr>
            <w:r>
              <w:rPr>
                <w:rFonts w:hint="eastAsia" w:ascii="宋体" w:hAnsi="宋体"/>
                <w:szCs w:val="21"/>
              </w:rPr>
              <w:t>3</w:t>
            </w:r>
          </w:p>
        </w:tc>
        <w:tc>
          <w:tcPr>
            <w:tcW w:w="1138" w:type="dxa"/>
            <w:vAlign w:val="center"/>
          </w:tcPr>
          <w:p>
            <w:pPr>
              <w:jc w:val="center"/>
              <w:rPr>
                <w:rFonts w:ascii="宋体" w:hAnsi="宋体"/>
                <w:szCs w:val="21"/>
              </w:rPr>
            </w:pPr>
            <w:r>
              <w:rPr>
                <w:rFonts w:hint="eastAsia" w:ascii="宋体" w:hAnsi="宋体"/>
                <w:szCs w:val="21"/>
              </w:rPr>
              <w:t>2</w:t>
            </w:r>
          </w:p>
        </w:tc>
        <w:tc>
          <w:tcPr>
            <w:tcW w:w="1324" w:type="dxa"/>
            <w:vAlign w:val="center"/>
          </w:tcPr>
          <w:p>
            <w:pPr>
              <w:jc w:val="center"/>
              <w:rPr>
                <w:rFonts w:ascii="宋体" w:hAnsi="宋体"/>
                <w:szCs w:val="21"/>
              </w:rPr>
            </w:pPr>
            <w:r>
              <w:rPr>
                <w:rFonts w:hint="eastAsia" w:ascii="宋体" w:hAnsi="宋体"/>
                <w:szCs w:val="21"/>
              </w:rPr>
              <w:t>1</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2、推进数字校园建设</w:t>
            </w:r>
          </w:p>
        </w:tc>
        <w:tc>
          <w:tcPr>
            <w:tcW w:w="1138" w:type="dxa"/>
            <w:vAlign w:val="center"/>
          </w:tcPr>
          <w:p>
            <w:pPr>
              <w:jc w:val="center"/>
              <w:rPr>
                <w:rFonts w:ascii="宋体" w:hAnsi="宋体"/>
                <w:szCs w:val="21"/>
              </w:rPr>
            </w:pPr>
            <w:r>
              <w:rPr>
                <w:rFonts w:hint="eastAsia" w:ascii="宋体" w:hAnsi="宋体"/>
                <w:szCs w:val="21"/>
              </w:rPr>
              <w:t>8</w:t>
            </w:r>
          </w:p>
        </w:tc>
        <w:tc>
          <w:tcPr>
            <w:tcW w:w="1138" w:type="dxa"/>
            <w:vAlign w:val="center"/>
          </w:tcPr>
          <w:p>
            <w:pPr>
              <w:jc w:val="center"/>
              <w:rPr>
                <w:rFonts w:ascii="宋体" w:hAnsi="宋体"/>
                <w:szCs w:val="21"/>
              </w:rPr>
            </w:pPr>
            <w:r>
              <w:rPr>
                <w:rFonts w:hint="eastAsia" w:ascii="宋体" w:hAnsi="宋体"/>
                <w:szCs w:val="21"/>
              </w:rPr>
              <w:t>0</w:t>
            </w:r>
          </w:p>
        </w:tc>
        <w:tc>
          <w:tcPr>
            <w:tcW w:w="1138" w:type="dxa"/>
            <w:vAlign w:val="center"/>
          </w:tcPr>
          <w:p>
            <w:pPr>
              <w:jc w:val="center"/>
              <w:rPr>
                <w:rFonts w:ascii="宋体" w:hAnsi="宋体"/>
                <w:szCs w:val="21"/>
              </w:rPr>
            </w:pPr>
            <w:r>
              <w:rPr>
                <w:rFonts w:hint="eastAsia" w:ascii="宋体" w:hAnsi="宋体"/>
                <w:szCs w:val="21"/>
              </w:rPr>
              <w:t>8</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3、促进信息技术与教育教学深度融合</w:t>
            </w:r>
          </w:p>
        </w:tc>
        <w:tc>
          <w:tcPr>
            <w:tcW w:w="1138" w:type="dxa"/>
            <w:vAlign w:val="center"/>
          </w:tcPr>
          <w:p>
            <w:pPr>
              <w:jc w:val="center"/>
              <w:rPr>
                <w:rFonts w:ascii="宋体" w:hAnsi="宋体"/>
                <w:szCs w:val="21"/>
              </w:rPr>
            </w:pPr>
            <w:r>
              <w:rPr>
                <w:rFonts w:hint="eastAsia" w:ascii="宋体" w:hAnsi="宋体"/>
                <w:szCs w:val="21"/>
              </w:rPr>
              <w:t>6</w:t>
            </w:r>
          </w:p>
        </w:tc>
        <w:tc>
          <w:tcPr>
            <w:tcW w:w="1138" w:type="dxa"/>
            <w:vAlign w:val="center"/>
          </w:tcPr>
          <w:p>
            <w:pPr>
              <w:jc w:val="center"/>
              <w:rPr>
                <w:rFonts w:ascii="宋体" w:hAnsi="宋体"/>
                <w:szCs w:val="21"/>
              </w:rPr>
            </w:pPr>
            <w:r>
              <w:rPr>
                <w:rFonts w:hint="eastAsia" w:ascii="宋体" w:hAnsi="宋体"/>
                <w:szCs w:val="21"/>
              </w:rPr>
              <w:t>0</w:t>
            </w:r>
          </w:p>
        </w:tc>
        <w:tc>
          <w:tcPr>
            <w:tcW w:w="1138" w:type="dxa"/>
            <w:vAlign w:val="center"/>
          </w:tcPr>
          <w:p>
            <w:pPr>
              <w:jc w:val="center"/>
              <w:rPr>
                <w:rFonts w:ascii="宋体" w:hAnsi="宋体"/>
                <w:szCs w:val="21"/>
              </w:rPr>
            </w:pPr>
            <w:r>
              <w:rPr>
                <w:rFonts w:hint="eastAsia" w:ascii="宋体" w:hAnsi="宋体"/>
                <w:szCs w:val="21"/>
              </w:rPr>
              <w:t>5</w:t>
            </w:r>
          </w:p>
        </w:tc>
        <w:tc>
          <w:tcPr>
            <w:tcW w:w="1324" w:type="dxa"/>
            <w:vAlign w:val="center"/>
          </w:tcPr>
          <w:p>
            <w:pPr>
              <w:jc w:val="center"/>
              <w:rPr>
                <w:rFonts w:ascii="宋体" w:hAnsi="宋体"/>
                <w:szCs w:val="21"/>
              </w:rPr>
            </w:pPr>
            <w:r>
              <w:rPr>
                <w:rFonts w:hint="eastAsia" w:ascii="宋体" w:hAnsi="宋体"/>
                <w:szCs w:val="21"/>
              </w:rPr>
              <w:t>1</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4、师生信息素养提升</w:t>
            </w:r>
          </w:p>
        </w:tc>
        <w:tc>
          <w:tcPr>
            <w:tcW w:w="1138" w:type="dxa"/>
            <w:vAlign w:val="center"/>
          </w:tcPr>
          <w:p>
            <w:pPr>
              <w:jc w:val="center"/>
              <w:rPr>
                <w:rFonts w:ascii="宋体" w:hAnsi="宋体"/>
                <w:szCs w:val="21"/>
              </w:rPr>
            </w:pPr>
            <w:r>
              <w:rPr>
                <w:rFonts w:hint="eastAsia" w:ascii="宋体" w:hAnsi="宋体"/>
                <w:szCs w:val="21"/>
              </w:rPr>
              <w:t>6</w:t>
            </w:r>
          </w:p>
        </w:tc>
        <w:tc>
          <w:tcPr>
            <w:tcW w:w="1138" w:type="dxa"/>
            <w:vAlign w:val="center"/>
          </w:tcPr>
          <w:p>
            <w:pPr>
              <w:jc w:val="center"/>
              <w:rPr>
                <w:rFonts w:ascii="宋体" w:hAnsi="宋体"/>
                <w:szCs w:val="21"/>
              </w:rPr>
            </w:pPr>
            <w:r>
              <w:rPr>
                <w:rFonts w:hint="eastAsia" w:ascii="宋体" w:hAnsi="宋体"/>
                <w:szCs w:val="21"/>
              </w:rPr>
              <w:t>1</w:t>
            </w:r>
          </w:p>
        </w:tc>
        <w:tc>
          <w:tcPr>
            <w:tcW w:w="1138" w:type="dxa"/>
            <w:vAlign w:val="center"/>
          </w:tcPr>
          <w:p>
            <w:pPr>
              <w:jc w:val="center"/>
              <w:rPr>
                <w:rFonts w:ascii="宋体" w:hAnsi="宋体"/>
                <w:szCs w:val="21"/>
              </w:rPr>
            </w:pPr>
            <w:r>
              <w:rPr>
                <w:rFonts w:hint="eastAsia" w:ascii="宋体" w:hAnsi="宋体"/>
                <w:szCs w:val="21"/>
              </w:rPr>
              <w:t>5</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restart"/>
            <w:vAlign w:val="center"/>
          </w:tcPr>
          <w:p>
            <w:pPr>
              <w:jc w:val="center"/>
              <w:rPr>
                <w:rFonts w:ascii="宋体" w:hAnsi="宋体"/>
                <w:szCs w:val="21"/>
              </w:rPr>
            </w:pPr>
            <w:r>
              <w:rPr>
                <w:rFonts w:hint="eastAsia" w:ascii="宋体" w:hAnsi="宋体"/>
                <w:szCs w:val="21"/>
              </w:rPr>
              <w:t>六、建设现代职业学校</w:t>
            </w:r>
          </w:p>
        </w:tc>
        <w:tc>
          <w:tcPr>
            <w:tcW w:w="2774" w:type="dxa"/>
            <w:vAlign w:val="center"/>
          </w:tcPr>
          <w:p>
            <w:pPr>
              <w:rPr>
                <w:rFonts w:ascii="宋体" w:hAnsi="宋体"/>
                <w:szCs w:val="21"/>
              </w:rPr>
            </w:pPr>
            <w:r>
              <w:rPr>
                <w:rFonts w:hint="eastAsia" w:ascii="宋体" w:hAnsi="宋体"/>
                <w:szCs w:val="21"/>
              </w:rPr>
              <w:t>1、现代职业学校体系建设</w:t>
            </w:r>
          </w:p>
        </w:tc>
        <w:tc>
          <w:tcPr>
            <w:tcW w:w="1138" w:type="dxa"/>
            <w:vAlign w:val="center"/>
          </w:tcPr>
          <w:p>
            <w:pPr>
              <w:jc w:val="center"/>
              <w:rPr>
                <w:rFonts w:ascii="宋体" w:hAnsi="宋体"/>
                <w:szCs w:val="21"/>
              </w:rPr>
            </w:pPr>
            <w:r>
              <w:rPr>
                <w:rFonts w:hint="eastAsia" w:ascii="宋体" w:hAnsi="宋体"/>
                <w:szCs w:val="21"/>
              </w:rPr>
              <w:t>5</w:t>
            </w:r>
          </w:p>
        </w:tc>
        <w:tc>
          <w:tcPr>
            <w:tcW w:w="1138" w:type="dxa"/>
            <w:vAlign w:val="center"/>
          </w:tcPr>
          <w:p>
            <w:pPr>
              <w:jc w:val="center"/>
              <w:rPr>
                <w:rFonts w:ascii="宋体" w:hAnsi="宋体"/>
                <w:szCs w:val="21"/>
              </w:rPr>
            </w:pPr>
            <w:r>
              <w:rPr>
                <w:rFonts w:hint="eastAsia" w:ascii="宋体" w:hAnsi="宋体"/>
                <w:szCs w:val="21"/>
              </w:rPr>
              <w:t>3</w:t>
            </w:r>
          </w:p>
        </w:tc>
        <w:tc>
          <w:tcPr>
            <w:tcW w:w="1138" w:type="dxa"/>
            <w:vAlign w:val="center"/>
          </w:tcPr>
          <w:p>
            <w:pPr>
              <w:jc w:val="center"/>
              <w:rPr>
                <w:rFonts w:ascii="宋体" w:hAnsi="宋体"/>
                <w:szCs w:val="21"/>
              </w:rPr>
            </w:pPr>
            <w:r>
              <w:rPr>
                <w:rFonts w:hint="eastAsia" w:ascii="宋体" w:hAnsi="宋体"/>
                <w:szCs w:val="21"/>
              </w:rPr>
              <w:t>2</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2、教学诊断改革</w:t>
            </w:r>
          </w:p>
        </w:tc>
        <w:tc>
          <w:tcPr>
            <w:tcW w:w="1138" w:type="dxa"/>
            <w:vAlign w:val="center"/>
          </w:tcPr>
          <w:p>
            <w:pPr>
              <w:jc w:val="center"/>
              <w:rPr>
                <w:rFonts w:ascii="宋体" w:hAnsi="宋体"/>
                <w:szCs w:val="21"/>
              </w:rPr>
            </w:pPr>
            <w:r>
              <w:rPr>
                <w:rFonts w:hint="eastAsia" w:ascii="宋体" w:hAnsi="宋体"/>
                <w:szCs w:val="21"/>
              </w:rPr>
              <w:t>7</w:t>
            </w:r>
          </w:p>
        </w:tc>
        <w:tc>
          <w:tcPr>
            <w:tcW w:w="1138" w:type="dxa"/>
            <w:vAlign w:val="center"/>
          </w:tcPr>
          <w:p>
            <w:pPr>
              <w:jc w:val="center"/>
              <w:rPr>
                <w:rFonts w:ascii="宋体" w:hAnsi="宋体"/>
                <w:szCs w:val="21"/>
              </w:rPr>
            </w:pPr>
            <w:r>
              <w:rPr>
                <w:rFonts w:hint="eastAsia" w:ascii="宋体" w:hAnsi="宋体"/>
                <w:szCs w:val="21"/>
              </w:rPr>
              <w:t>3</w:t>
            </w:r>
          </w:p>
        </w:tc>
        <w:tc>
          <w:tcPr>
            <w:tcW w:w="1138" w:type="dxa"/>
            <w:vAlign w:val="center"/>
          </w:tcPr>
          <w:p>
            <w:pPr>
              <w:jc w:val="center"/>
              <w:rPr>
                <w:rFonts w:ascii="宋体" w:hAnsi="宋体"/>
                <w:szCs w:val="21"/>
              </w:rPr>
            </w:pPr>
            <w:r>
              <w:rPr>
                <w:rFonts w:hint="eastAsia" w:ascii="宋体" w:hAnsi="宋体"/>
                <w:szCs w:val="21"/>
              </w:rPr>
              <w:t>4</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3、提升服务能力</w:t>
            </w:r>
          </w:p>
        </w:tc>
        <w:tc>
          <w:tcPr>
            <w:tcW w:w="1138" w:type="dxa"/>
            <w:vAlign w:val="center"/>
          </w:tcPr>
          <w:p>
            <w:pPr>
              <w:jc w:val="center"/>
              <w:rPr>
                <w:rFonts w:ascii="宋体" w:hAnsi="宋体"/>
                <w:szCs w:val="21"/>
              </w:rPr>
            </w:pPr>
            <w:r>
              <w:rPr>
                <w:rFonts w:hint="eastAsia" w:ascii="宋体" w:hAnsi="宋体"/>
                <w:szCs w:val="21"/>
              </w:rPr>
              <w:t>6</w:t>
            </w:r>
          </w:p>
        </w:tc>
        <w:tc>
          <w:tcPr>
            <w:tcW w:w="1138" w:type="dxa"/>
            <w:vAlign w:val="center"/>
          </w:tcPr>
          <w:p>
            <w:pPr>
              <w:jc w:val="center"/>
              <w:rPr>
                <w:rFonts w:ascii="宋体" w:hAnsi="宋体"/>
                <w:szCs w:val="21"/>
              </w:rPr>
            </w:pPr>
            <w:r>
              <w:rPr>
                <w:rFonts w:hint="eastAsia" w:ascii="宋体" w:hAnsi="宋体"/>
                <w:szCs w:val="21"/>
              </w:rPr>
              <w:t>3</w:t>
            </w:r>
          </w:p>
        </w:tc>
        <w:tc>
          <w:tcPr>
            <w:tcW w:w="1138" w:type="dxa"/>
            <w:vAlign w:val="center"/>
          </w:tcPr>
          <w:p>
            <w:pPr>
              <w:jc w:val="center"/>
              <w:rPr>
                <w:rFonts w:ascii="宋体" w:hAnsi="宋体"/>
                <w:szCs w:val="21"/>
              </w:rPr>
            </w:pPr>
            <w:r>
              <w:rPr>
                <w:rFonts w:hint="eastAsia" w:ascii="宋体" w:hAnsi="宋体"/>
                <w:szCs w:val="21"/>
              </w:rPr>
              <w:t>3</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Merge w:val="continue"/>
            <w:vAlign w:val="center"/>
          </w:tcPr>
          <w:p>
            <w:pPr>
              <w:jc w:val="center"/>
              <w:rPr>
                <w:rFonts w:ascii="宋体" w:hAnsi="宋体"/>
                <w:szCs w:val="21"/>
              </w:rPr>
            </w:pPr>
          </w:p>
        </w:tc>
        <w:tc>
          <w:tcPr>
            <w:tcW w:w="2774" w:type="dxa"/>
            <w:vAlign w:val="center"/>
          </w:tcPr>
          <w:p>
            <w:pPr>
              <w:rPr>
                <w:rFonts w:ascii="宋体" w:hAnsi="宋体"/>
                <w:szCs w:val="21"/>
              </w:rPr>
            </w:pPr>
            <w:r>
              <w:rPr>
                <w:rFonts w:hint="eastAsia" w:ascii="宋体" w:hAnsi="宋体"/>
                <w:szCs w:val="21"/>
              </w:rPr>
              <w:t>4、校园文化建设</w:t>
            </w:r>
          </w:p>
        </w:tc>
        <w:tc>
          <w:tcPr>
            <w:tcW w:w="1138" w:type="dxa"/>
            <w:vAlign w:val="center"/>
          </w:tcPr>
          <w:p>
            <w:pPr>
              <w:jc w:val="center"/>
              <w:rPr>
                <w:rFonts w:ascii="宋体" w:hAnsi="宋体"/>
                <w:szCs w:val="21"/>
              </w:rPr>
            </w:pPr>
            <w:r>
              <w:rPr>
                <w:rFonts w:hint="eastAsia" w:ascii="宋体" w:hAnsi="宋体"/>
                <w:szCs w:val="21"/>
              </w:rPr>
              <w:t>4</w:t>
            </w:r>
          </w:p>
        </w:tc>
        <w:tc>
          <w:tcPr>
            <w:tcW w:w="1138" w:type="dxa"/>
            <w:vAlign w:val="center"/>
          </w:tcPr>
          <w:p>
            <w:pPr>
              <w:jc w:val="center"/>
              <w:rPr>
                <w:rFonts w:ascii="宋体" w:hAnsi="宋体"/>
                <w:szCs w:val="21"/>
              </w:rPr>
            </w:pPr>
            <w:r>
              <w:rPr>
                <w:rFonts w:hint="eastAsia" w:ascii="宋体" w:hAnsi="宋体"/>
                <w:szCs w:val="21"/>
              </w:rPr>
              <w:t>1</w:t>
            </w:r>
          </w:p>
        </w:tc>
        <w:tc>
          <w:tcPr>
            <w:tcW w:w="1138" w:type="dxa"/>
            <w:vAlign w:val="center"/>
          </w:tcPr>
          <w:p>
            <w:pPr>
              <w:jc w:val="center"/>
              <w:rPr>
                <w:rFonts w:ascii="宋体" w:hAnsi="宋体"/>
                <w:szCs w:val="21"/>
              </w:rPr>
            </w:pPr>
            <w:r>
              <w:rPr>
                <w:rFonts w:hint="eastAsia" w:ascii="宋体" w:hAnsi="宋体"/>
                <w:szCs w:val="21"/>
              </w:rPr>
              <w:t>3</w:t>
            </w:r>
          </w:p>
        </w:tc>
        <w:tc>
          <w:tcPr>
            <w:tcW w:w="1324" w:type="dxa"/>
            <w:vAlign w:val="center"/>
          </w:tcPr>
          <w:p>
            <w:pPr>
              <w:jc w:val="center"/>
              <w:rPr>
                <w:rFonts w:ascii="宋体" w:hAnsi="宋体"/>
                <w:szCs w:val="21"/>
              </w:rPr>
            </w:pPr>
            <w:r>
              <w:rPr>
                <w:rFonts w:hint="eastAsia" w:ascii="宋体" w:hAnsi="宋体"/>
                <w:szCs w:val="21"/>
              </w:rPr>
              <w:t>0</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484" w:type="dxa"/>
            <w:gridSpan w:val="2"/>
            <w:vAlign w:val="center"/>
          </w:tcPr>
          <w:p>
            <w:pPr>
              <w:jc w:val="center"/>
              <w:rPr>
                <w:rFonts w:ascii="宋体" w:hAnsi="宋体"/>
                <w:szCs w:val="21"/>
              </w:rPr>
            </w:pPr>
            <w:r>
              <w:rPr>
                <w:rFonts w:hint="eastAsia" w:ascii="宋体" w:hAnsi="宋体"/>
                <w:szCs w:val="21"/>
              </w:rPr>
              <w:t>合计</w:t>
            </w:r>
          </w:p>
        </w:tc>
        <w:tc>
          <w:tcPr>
            <w:tcW w:w="1138" w:type="dxa"/>
            <w:vAlign w:val="center"/>
          </w:tcPr>
          <w:p>
            <w:pPr>
              <w:jc w:val="center"/>
              <w:rPr>
                <w:rFonts w:ascii="宋体" w:hAnsi="宋体"/>
                <w:szCs w:val="21"/>
              </w:rPr>
            </w:pPr>
            <w:r>
              <w:rPr>
                <w:rFonts w:hint="eastAsia" w:ascii="宋体" w:hAnsi="宋体"/>
                <w:szCs w:val="21"/>
              </w:rPr>
              <w:t>171</w:t>
            </w:r>
          </w:p>
        </w:tc>
        <w:tc>
          <w:tcPr>
            <w:tcW w:w="1138" w:type="dxa"/>
            <w:vAlign w:val="center"/>
          </w:tcPr>
          <w:p>
            <w:pPr>
              <w:jc w:val="center"/>
              <w:rPr>
                <w:rFonts w:ascii="宋体" w:hAnsi="宋体"/>
                <w:szCs w:val="21"/>
              </w:rPr>
            </w:pPr>
            <w:r>
              <w:rPr>
                <w:rFonts w:hint="eastAsia" w:ascii="宋体" w:hAnsi="宋体"/>
                <w:szCs w:val="21"/>
              </w:rPr>
              <w:t>75</w:t>
            </w:r>
          </w:p>
        </w:tc>
        <w:tc>
          <w:tcPr>
            <w:tcW w:w="1138" w:type="dxa"/>
            <w:vAlign w:val="center"/>
          </w:tcPr>
          <w:p>
            <w:pPr>
              <w:jc w:val="center"/>
              <w:rPr>
                <w:rFonts w:ascii="宋体" w:hAnsi="宋体"/>
                <w:szCs w:val="21"/>
              </w:rPr>
            </w:pPr>
            <w:r>
              <w:rPr>
                <w:rFonts w:hint="eastAsia" w:ascii="宋体" w:hAnsi="宋体"/>
                <w:szCs w:val="21"/>
              </w:rPr>
              <w:t>73</w:t>
            </w:r>
          </w:p>
        </w:tc>
        <w:tc>
          <w:tcPr>
            <w:tcW w:w="1324" w:type="dxa"/>
            <w:vAlign w:val="center"/>
          </w:tcPr>
          <w:p>
            <w:pPr>
              <w:jc w:val="center"/>
              <w:rPr>
                <w:rFonts w:ascii="宋体" w:hAnsi="宋体"/>
                <w:szCs w:val="21"/>
              </w:rPr>
            </w:pPr>
            <w:r>
              <w:rPr>
                <w:rFonts w:hint="eastAsia" w:ascii="宋体" w:hAnsi="宋体"/>
                <w:szCs w:val="21"/>
              </w:rPr>
              <w:t>23</w:t>
            </w:r>
          </w:p>
        </w:tc>
        <w:tc>
          <w:tcPr>
            <w:tcW w:w="8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484" w:type="dxa"/>
            <w:gridSpan w:val="2"/>
            <w:vAlign w:val="center"/>
          </w:tcPr>
          <w:p>
            <w:pPr>
              <w:jc w:val="center"/>
              <w:rPr>
                <w:rFonts w:ascii="宋体" w:hAnsi="宋体"/>
                <w:szCs w:val="21"/>
              </w:rPr>
            </w:pPr>
            <w:r>
              <w:rPr>
                <w:rFonts w:hint="eastAsia" w:ascii="宋体" w:hAnsi="宋体"/>
                <w:szCs w:val="21"/>
              </w:rPr>
              <w:t>占总任务数的百分比（%）</w:t>
            </w:r>
          </w:p>
        </w:tc>
        <w:tc>
          <w:tcPr>
            <w:tcW w:w="1138" w:type="dxa"/>
            <w:vAlign w:val="center"/>
          </w:tcPr>
          <w:p>
            <w:pPr>
              <w:jc w:val="center"/>
              <w:rPr>
                <w:rFonts w:ascii="宋体" w:hAnsi="宋体"/>
                <w:szCs w:val="21"/>
              </w:rPr>
            </w:pPr>
            <w:r>
              <w:rPr>
                <w:rFonts w:hint="eastAsia" w:ascii="宋体" w:hAnsi="宋体"/>
                <w:szCs w:val="21"/>
              </w:rPr>
              <w:t>100</w:t>
            </w:r>
          </w:p>
        </w:tc>
        <w:tc>
          <w:tcPr>
            <w:tcW w:w="1138" w:type="dxa"/>
            <w:vAlign w:val="center"/>
          </w:tcPr>
          <w:p>
            <w:pPr>
              <w:jc w:val="center"/>
              <w:rPr>
                <w:rFonts w:ascii="宋体" w:hAnsi="宋体"/>
                <w:szCs w:val="21"/>
              </w:rPr>
            </w:pPr>
            <w:r>
              <w:rPr>
                <w:rFonts w:hint="eastAsia" w:ascii="宋体" w:hAnsi="宋体"/>
                <w:szCs w:val="21"/>
              </w:rPr>
              <w:t>43.86</w:t>
            </w:r>
          </w:p>
        </w:tc>
        <w:tc>
          <w:tcPr>
            <w:tcW w:w="1138" w:type="dxa"/>
            <w:vAlign w:val="center"/>
          </w:tcPr>
          <w:p>
            <w:pPr>
              <w:jc w:val="center"/>
              <w:rPr>
                <w:rFonts w:ascii="宋体" w:hAnsi="宋体"/>
                <w:szCs w:val="21"/>
              </w:rPr>
            </w:pPr>
            <w:r>
              <w:rPr>
                <w:rFonts w:hint="eastAsia" w:ascii="宋体" w:hAnsi="宋体"/>
                <w:szCs w:val="21"/>
              </w:rPr>
              <w:t>42.69</w:t>
            </w:r>
          </w:p>
        </w:tc>
        <w:tc>
          <w:tcPr>
            <w:tcW w:w="1324" w:type="dxa"/>
            <w:vAlign w:val="center"/>
          </w:tcPr>
          <w:p>
            <w:pPr>
              <w:jc w:val="center"/>
              <w:rPr>
                <w:rFonts w:ascii="宋体" w:hAnsi="宋体"/>
                <w:szCs w:val="21"/>
              </w:rPr>
            </w:pPr>
            <w:r>
              <w:rPr>
                <w:rFonts w:hint="eastAsia" w:ascii="宋体" w:hAnsi="宋体"/>
                <w:szCs w:val="21"/>
              </w:rPr>
              <w:t>13.45</w:t>
            </w:r>
          </w:p>
        </w:tc>
        <w:tc>
          <w:tcPr>
            <w:tcW w:w="820" w:type="dxa"/>
            <w:vAlign w:val="center"/>
          </w:tcPr>
          <w:p>
            <w:pPr>
              <w:jc w:val="center"/>
              <w:rPr>
                <w:rFonts w:ascii="宋体" w:hAnsi="宋体"/>
                <w:szCs w:val="21"/>
              </w:rPr>
            </w:pPr>
          </w:p>
        </w:tc>
      </w:tr>
    </w:tbl>
    <w:p>
      <w:pPr>
        <w:spacing w:before="156" w:beforeLines="50" w:line="360" w:lineRule="auto"/>
        <w:ind w:firstLine="480" w:firstLineChars="200"/>
        <w:rPr>
          <w:rFonts w:asciiTheme="minorEastAsia" w:hAnsiTheme="minorEastAsia"/>
          <w:sz w:val="24"/>
          <w:szCs w:val="24"/>
        </w:rPr>
      </w:pPr>
      <w:r>
        <w:rPr>
          <w:rFonts w:hint="eastAsia" w:asciiTheme="minorEastAsia" w:hAnsiTheme="minorEastAsia"/>
          <w:sz w:val="24"/>
          <w:szCs w:val="24"/>
        </w:rPr>
        <w:t>从统计表可以看出，我校示范校建设任务正在稳步推进中，尚未完成的任务，大部分已经进入收尾阶段，还没有开展的工作，也将在近期开始进行。总体上，我校创建工作的推进是及时的、有序的。</w:t>
      </w:r>
    </w:p>
    <w:sectPr>
      <w:pgSz w:w="11906" w:h="16838"/>
      <w:pgMar w:top="1418" w:right="1418" w:bottom="1134" w:left="1418" w:header="851" w:footer="68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none">
    <w:altName w:val="Segoe Print"/>
    <w:panose1 w:val="00000000000000000000"/>
    <w:charset w:val="00"/>
    <w:family w:val="roman"/>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0329370"/>
    </w:sdtPr>
    <w:sdtEndPr>
      <w:rPr>
        <w:rFonts w:ascii="宋体" w:hAnsi="宋体"/>
      </w:rPr>
    </w:sdtEndPr>
    <w:sdtContent>
      <w:p>
        <w:pPr>
          <w:pStyle w:val="18"/>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49</w:t>
        </w:r>
        <w:r>
          <w:rPr>
            <w:rFonts w:ascii="宋体" w:hAnsi="宋体"/>
          </w:rPr>
          <w:fldChar w:fldCharType="end"/>
        </w:r>
      </w:p>
    </w:sdtContent>
  </w:sdt>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ind w:firstLine="360"/>
      <w:rPr>
        <w:rStyle w:val="34"/>
      </w:rPr>
    </w:pPr>
    <w:r>
      <w:rPr>
        <w:rStyle w:val="34"/>
      </w:rPr>
      <w:fldChar w:fldCharType="begin"/>
    </w:r>
    <w:r>
      <w:rPr>
        <w:rStyle w:val="34"/>
      </w:rPr>
      <w:instrText xml:space="preserve">PAGE  </w:instrText>
    </w:r>
    <w:r>
      <w:rPr>
        <w:rStyle w:val="34"/>
      </w:rP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firstLine="360"/>
      <w:jc w:val="left"/>
      <w:rPr>
        <w:u w:val="single"/>
      </w:rPr>
    </w:pPr>
    <w:r>
      <w:rPr>
        <w:rFonts w:hint="eastAsia" w:ascii="叶根友毛笔行书2.0版" w:eastAsia="叶根友毛笔行书2.0版"/>
        <w:sz w:val="24"/>
        <w:szCs w:val="24"/>
        <w:u w:val="single"/>
      </w:rPr>
      <w:drawing>
        <wp:inline distT="0" distB="0" distL="0" distR="0">
          <wp:extent cx="431165" cy="431800"/>
          <wp:effectExtent l="19050" t="0" r="6358" b="0"/>
          <wp:docPr id="14" name="图片 1" descr="校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校标.jpg"/>
                  <pic:cNvPicPr>
                    <a:picLocks noChangeAspect="1"/>
                  </pic:cNvPicPr>
                </pic:nvPicPr>
                <pic:blipFill>
                  <a:blip r:embed="rId1"/>
                  <a:stretch>
                    <a:fillRect/>
                  </a:stretch>
                </pic:blipFill>
                <pic:spPr>
                  <a:xfrm>
                    <a:off x="0" y="0"/>
                    <a:ext cx="431792" cy="432000"/>
                  </a:xfrm>
                  <a:prstGeom prst="rect">
                    <a:avLst/>
                  </a:prstGeom>
                </pic:spPr>
              </pic:pic>
            </a:graphicData>
          </a:graphic>
        </wp:inline>
      </w:drawing>
    </w:r>
    <w:r>
      <w:rPr>
        <w:rFonts w:hint="eastAsia"/>
        <w:u w:val="single"/>
      </w:rPr>
      <w:t xml:space="preserve"> </w:t>
    </w:r>
    <w:r>
      <w:rPr>
        <w:rFonts w:hint="eastAsia" w:ascii="叶根友毛笔行书2.0版" w:eastAsia="叶根友毛笔行书2.0版"/>
        <w:sz w:val="24"/>
        <w:szCs w:val="24"/>
        <w:u w:val="single"/>
      </w:rPr>
      <w:drawing>
        <wp:inline distT="0" distB="0" distL="0" distR="0">
          <wp:extent cx="1725930" cy="359410"/>
          <wp:effectExtent l="19050" t="0" r="7186"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
                  <a:srcRect/>
                  <a:stretch>
                    <a:fillRect/>
                  </a:stretch>
                </pic:blipFill>
                <pic:spPr>
                  <a:xfrm>
                    <a:off x="0" y="0"/>
                    <a:ext cx="1726364" cy="360000"/>
                  </a:xfrm>
                  <a:prstGeom prst="rect">
                    <a:avLst/>
                  </a:prstGeom>
                  <a:noFill/>
                  <a:ln w="9525">
                    <a:noFill/>
                    <a:miter lim="800000"/>
                    <a:headEnd/>
                    <a:tailEnd/>
                  </a:ln>
                </pic:spPr>
              </pic:pic>
            </a:graphicData>
          </a:graphic>
        </wp:inline>
      </w:drawing>
    </w:r>
    <w:r>
      <w:rPr>
        <w:rFonts w:hint="eastAsia"/>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123"/>
    <w:rsid w:val="000101EE"/>
    <w:rsid w:val="00010376"/>
    <w:rsid w:val="00033F86"/>
    <w:rsid w:val="000358F5"/>
    <w:rsid w:val="00040F6C"/>
    <w:rsid w:val="00041C28"/>
    <w:rsid w:val="00044188"/>
    <w:rsid w:val="000444CE"/>
    <w:rsid w:val="00045385"/>
    <w:rsid w:val="000513E1"/>
    <w:rsid w:val="00052C0D"/>
    <w:rsid w:val="00053864"/>
    <w:rsid w:val="00065D77"/>
    <w:rsid w:val="00066D3B"/>
    <w:rsid w:val="000749AE"/>
    <w:rsid w:val="000811D1"/>
    <w:rsid w:val="00083489"/>
    <w:rsid w:val="0008383D"/>
    <w:rsid w:val="0008491B"/>
    <w:rsid w:val="00084E38"/>
    <w:rsid w:val="00086085"/>
    <w:rsid w:val="000A17BE"/>
    <w:rsid w:val="000C200A"/>
    <w:rsid w:val="000C5887"/>
    <w:rsid w:val="000D16BA"/>
    <w:rsid w:val="000D6AF1"/>
    <w:rsid w:val="000E5BC2"/>
    <w:rsid w:val="000E6D37"/>
    <w:rsid w:val="00104091"/>
    <w:rsid w:val="00106A1C"/>
    <w:rsid w:val="00107C13"/>
    <w:rsid w:val="001107B7"/>
    <w:rsid w:val="00110BC8"/>
    <w:rsid w:val="0011737F"/>
    <w:rsid w:val="0012360A"/>
    <w:rsid w:val="001239EB"/>
    <w:rsid w:val="001250C4"/>
    <w:rsid w:val="001267E3"/>
    <w:rsid w:val="00127476"/>
    <w:rsid w:val="00127992"/>
    <w:rsid w:val="00130ABF"/>
    <w:rsid w:val="001318C7"/>
    <w:rsid w:val="001340FC"/>
    <w:rsid w:val="0013613D"/>
    <w:rsid w:val="00140D84"/>
    <w:rsid w:val="001414C7"/>
    <w:rsid w:val="00155F57"/>
    <w:rsid w:val="001611CB"/>
    <w:rsid w:val="0016218D"/>
    <w:rsid w:val="00163771"/>
    <w:rsid w:val="00164998"/>
    <w:rsid w:val="0016617B"/>
    <w:rsid w:val="0016693B"/>
    <w:rsid w:val="00170D1E"/>
    <w:rsid w:val="00182A11"/>
    <w:rsid w:val="001836F7"/>
    <w:rsid w:val="00184DDC"/>
    <w:rsid w:val="00186D73"/>
    <w:rsid w:val="00187754"/>
    <w:rsid w:val="001B1305"/>
    <w:rsid w:val="001B3515"/>
    <w:rsid w:val="001B4E35"/>
    <w:rsid w:val="001C499A"/>
    <w:rsid w:val="001C728E"/>
    <w:rsid w:val="001C7733"/>
    <w:rsid w:val="001D65B1"/>
    <w:rsid w:val="001D698A"/>
    <w:rsid w:val="001F7EC8"/>
    <w:rsid w:val="0020119E"/>
    <w:rsid w:val="0020710E"/>
    <w:rsid w:val="00207C6E"/>
    <w:rsid w:val="00215874"/>
    <w:rsid w:val="00223C6B"/>
    <w:rsid w:val="0023417C"/>
    <w:rsid w:val="00240D3A"/>
    <w:rsid w:val="00241D80"/>
    <w:rsid w:val="00274042"/>
    <w:rsid w:val="002906D4"/>
    <w:rsid w:val="002945C2"/>
    <w:rsid w:val="00294624"/>
    <w:rsid w:val="002A6123"/>
    <w:rsid w:val="002B1689"/>
    <w:rsid w:val="002B2D4C"/>
    <w:rsid w:val="002B3933"/>
    <w:rsid w:val="002C28E8"/>
    <w:rsid w:val="002E314A"/>
    <w:rsid w:val="002F4533"/>
    <w:rsid w:val="002F4DEF"/>
    <w:rsid w:val="002F4E7C"/>
    <w:rsid w:val="002F5F20"/>
    <w:rsid w:val="00300034"/>
    <w:rsid w:val="00301784"/>
    <w:rsid w:val="00302696"/>
    <w:rsid w:val="00313FE0"/>
    <w:rsid w:val="00323E25"/>
    <w:rsid w:val="003241A8"/>
    <w:rsid w:val="00324668"/>
    <w:rsid w:val="00324D37"/>
    <w:rsid w:val="00324DAE"/>
    <w:rsid w:val="003304A3"/>
    <w:rsid w:val="003432E5"/>
    <w:rsid w:val="00353D9E"/>
    <w:rsid w:val="00356596"/>
    <w:rsid w:val="0036010A"/>
    <w:rsid w:val="00362957"/>
    <w:rsid w:val="003635C2"/>
    <w:rsid w:val="00391B2D"/>
    <w:rsid w:val="003A6539"/>
    <w:rsid w:val="003A7084"/>
    <w:rsid w:val="003B3931"/>
    <w:rsid w:val="003B5CFD"/>
    <w:rsid w:val="003C02E6"/>
    <w:rsid w:val="003C372E"/>
    <w:rsid w:val="003C72C6"/>
    <w:rsid w:val="003D0726"/>
    <w:rsid w:val="003D6489"/>
    <w:rsid w:val="003E2286"/>
    <w:rsid w:val="003E6DFB"/>
    <w:rsid w:val="003F62CE"/>
    <w:rsid w:val="003F6BA9"/>
    <w:rsid w:val="004018C8"/>
    <w:rsid w:val="00413214"/>
    <w:rsid w:val="00413C98"/>
    <w:rsid w:val="00421B23"/>
    <w:rsid w:val="00425B9D"/>
    <w:rsid w:val="00425BF3"/>
    <w:rsid w:val="00425DE0"/>
    <w:rsid w:val="00425EDC"/>
    <w:rsid w:val="00433049"/>
    <w:rsid w:val="00433BAB"/>
    <w:rsid w:val="004341C7"/>
    <w:rsid w:val="00436DBB"/>
    <w:rsid w:val="004477B4"/>
    <w:rsid w:val="00457A33"/>
    <w:rsid w:val="0046443F"/>
    <w:rsid w:val="0047116B"/>
    <w:rsid w:val="004720F9"/>
    <w:rsid w:val="004732D2"/>
    <w:rsid w:val="004806E7"/>
    <w:rsid w:val="00485623"/>
    <w:rsid w:val="00487D4E"/>
    <w:rsid w:val="004A0107"/>
    <w:rsid w:val="004A1EC9"/>
    <w:rsid w:val="004A29BE"/>
    <w:rsid w:val="004B6486"/>
    <w:rsid w:val="004B6FD4"/>
    <w:rsid w:val="004C17B4"/>
    <w:rsid w:val="004D2019"/>
    <w:rsid w:val="004D405D"/>
    <w:rsid w:val="004E0475"/>
    <w:rsid w:val="004E2467"/>
    <w:rsid w:val="004E4DDC"/>
    <w:rsid w:val="004F0DB9"/>
    <w:rsid w:val="004F7022"/>
    <w:rsid w:val="004F71FF"/>
    <w:rsid w:val="005006F5"/>
    <w:rsid w:val="00500E65"/>
    <w:rsid w:val="005130EF"/>
    <w:rsid w:val="00514D08"/>
    <w:rsid w:val="00525CBC"/>
    <w:rsid w:val="005340FE"/>
    <w:rsid w:val="005345DC"/>
    <w:rsid w:val="005417A1"/>
    <w:rsid w:val="005459B5"/>
    <w:rsid w:val="00562B38"/>
    <w:rsid w:val="0056420D"/>
    <w:rsid w:val="00566C10"/>
    <w:rsid w:val="00573487"/>
    <w:rsid w:val="00581B0F"/>
    <w:rsid w:val="0059537F"/>
    <w:rsid w:val="005956C1"/>
    <w:rsid w:val="005A591D"/>
    <w:rsid w:val="005B00FB"/>
    <w:rsid w:val="005C056B"/>
    <w:rsid w:val="005C2614"/>
    <w:rsid w:val="005C34B2"/>
    <w:rsid w:val="005C6F08"/>
    <w:rsid w:val="005C70E4"/>
    <w:rsid w:val="005D1B01"/>
    <w:rsid w:val="005E6BEA"/>
    <w:rsid w:val="005F1942"/>
    <w:rsid w:val="005F2789"/>
    <w:rsid w:val="006021A2"/>
    <w:rsid w:val="00612529"/>
    <w:rsid w:val="00612CAA"/>
    <w:rsid w:val="00615B7D"/>
    <w:rsid w:val="006179EA"/>
    <w:rsid w:val="0063205E"/>
    <w:rsid w:val="0063280D"/>
    <w:rsid w:val="00632C31"/>
    <w:rsid w:val="00636AEA"/>
    <w:rsid w:val="00640003"/>
    <w:rsid w:val="00640C0C"/>
    <w:rsid w:val="006524A9"/>
    <w:rsid w:val="00657D25"/>
    <w:rsid w:val="00661F0F"/>
    <w:rsid w:val="00662732"/>
    <w:rsid w:val="0067440B"/>
    <w:rsid w:val="00680427"/>
    <w:rsid w:val="006931DF"/>
    <w:rsid w:val="00696FDB"/>
    <w:rsid w:val="00697209"/>
    <w:rsid w:val="006A4751"/>
    <w:rsid w:val="006A6E6E"/>
    <w:rsid w:val="006B1A64"/>
    <w:rsid w:val="006C5DED"/>
    <w:rsid w:val="006D1834"/>
    <w:rsid w:val="006D386C"/>
    <w:rsid w:val="006E1346"/>
    <w:rsid w:val="006E53F8"/>
    <w:rsid w:val="006F78D6"/>
    <w:rsid w:val="00706035"/>
    <w:rsid w:val="007109BC"/>
    <w:rsid w:val="00713722"/>
    <w:rsid w:val="0072158B"/>
    <w:rsid w:val="00724695"/>
    <w:rsid w:val="00725803"/>
    <w:rsid w:val="0072613E"/>
    <w:rsid w:val="00745957"/>
    <w:rsid w:val="0075151F"/>
    <w:rsid w:val="00763FAB"/>
    <w:rsid w:val="007811A5"/>
    <w:rsid w:val="007A1AEF"/>
    <w:rsid w:val="007A1E77"/>
    <w:rsid w:val="007A2BFF"/>
    <w:rsid w:val="007A7651"/>
    <w:rsid w:val="007B4F31"/>
    <w:rsid w:val="007C3859"/>
    <w:rsid w:val="007C657C"/>
    <w:rsid w:val="007C7215"/>
    <w:rsid w:val="007C77F9"/>
    <w:rsid w:val="007E104F"/>
    <w:rsid w:val="007E26DF"/>
    <w:rsid w:val="007F3F67"/>
    <w:rsid w:val="007F4CD8"/>
    <w:rsid w:val="007F51F2"/>
    <w:rsid w:val="00801420"/>
    <w:rsid w:val="008022E8"/>
    <w:rsid w:val="0080408C"/>
    <w:rsid w:val="008155AB"/>
    <w:rsid w:val="00816856"/>
    <w:rsid w:val="0082404B"/>
    <w:rsid w:val="0082433D"/>
    <w:rsid w:val="008457EF"/>
    <w:rsid w:val="008625FA"/>
    <w:rsid w:val="008668A2"/>
    <w:rsid w:val="0087487C"/>
    <w:rsid w:val="00875437"/>
    <w:rsid w:val="00875AB2"/>
    <w:rsid w:val="00876B5F"/>
    <w:rsid w:val="00876BD4"/>
    <w:rsid w:val="00876D1E"/>
    <w:rsid w:val="008775E8"/>
    <w:rsid w:val="00885D1B"/>
    <w:rsid w:val="00891A68"/>
    <w:rsid w:val="008A04EA"/>
    <w:rsid w:val="008A5AD7"/>
    <w:rsid w:val="008A5C52"/>
    <w:rsid w:val="008A6FCC"/>
    <w:rsid w:val="008B42C9"/>
    <w:rsid w:val="008B45F2"/>
    <w:rsid w:val="008B4E4D"/>
    <w:rsid w:val="008C38CF"/>
    <w:rsid w:val="008E307E"/>
    <w:rsid w:val="008E3299"/>
    <w:rsid w:val="008F39BC"/>
    <w:rsid w:val="008F4A3D"/>
    <w:rsid w:val="00902134"/>
    <w:rsid w:val="00911EBC"/>
    <w:rsid w:val="00911F06"/>
    <w:rsid w:val="0091410C"/>
    <w:rsid w:val="00915A45"/>
    <w:rsid w:val="00934054"/>
    <w:rsid w:val="00940C02"/>
    <w:rsid w:val="009415DC"/>
    <w:rsid w:val="009463BB"/>
    <w:rsid w:val="00946D52"/>
    <w:rsid w:val="009470DC"/>
    <w:rsid w:val="009600F7"/>
    <w:rsid w:val="00961621"/>
    <w:rsid w:val="00966637"/>
    <w:rsid w:val="009671DD"/>
    <w:rsid w:val="00973C46"/>
    <w:rsid w:val="00973F4E"/>
    <w:rsid w:val="00974414"/>
    <w:rsid w:val="0097567B"/>
    <w:rsid w:val="00981E78"/>
    <w:rsid w:val="009825E0"/>
    <w:rsid w:val="00997E8B"/>
    <w:rsid w:val="009A10FD"/>
    <w:rsid w:val="009A2759"/>
    <w:rsid w:val="009A349B"/>
    <w:rsid w:val="009D26F8"/>
    <w:rsid w:val="009D28C0"/>
    <w:rsid w:val="009D2B9F"/>
    <w:rsid w:val="009D5BAC"/>
    <w:rsid w:val="009D6519"/>
    <w:rsid w:val="009D7EFE"/>
    <w:rsid w:val="009E0EE7"/>
    <w:rsid w:val="009E2D45"/>
    <w:rsid w:val="009E2D64"/>
    <w:rsid w:val="009E415A"/>
    <w:rsid w:val="009F10B5"/>
    <w:rsid w:val="009F29F9"/>
    <w:rsid w:val="009F50C7"/>
    <w:rsid w:val="00A01846"/>
    <w:rsid w:val="00A03AB4"/>
    <w:rsid w:val="00A0423E"/>
    <w:rsid w:val="00A04CA3"/>
    <w:rsid w:val="00A067E5"/>
    <w:rsid w:val="00A20D34"/>
    <w:rsid w:val="00A2789A"/>
    <w:rsid w:val="00A27EC0"/>
    <w:rsid w:val="00A52112"/>
    <w:rsid w:val="00A535CB"/>
    <w:rsid w:val="00A54E53"/>
    <w:rsid w:val="00A67667"/>
    <w:rsid w:val="00A926C7"/>
    <w:rsid w:val="00AA3104"/>
    <w:rsid w:val="00AA3299"/>
    <w:rsid w:val="00AA3378"/>
    <w:rsid w:val="00AA568C"/>
    <w:rsid w:val="00AA5E82"/>
    <w:rsid w:val="00AB02D9"/>
    <w:rsid w:val="00AB543A"/>
    <w:rsid w:val="00AB760E"/>
    <w:rsid w:val="00AC51AC"/>
    <w:rsid w:val="00AE1C0D"/>
    <w:rsid w:val="00AE1C34"/>
    <w:rsid w:val="00AE292D"/>
    <w:rsid w:val="00AE610C"/>
    <w:rsid w:val="00AF5518"/>
    <w:rsid w:val="00B07A7E"/>
    <w:rsid w:val="00B142E0"/>
    <w:rsid w:val="00B32652"/>
    <w:rsid w:val="00B4112A"/>
    <w:rsid w:val="00B45A8F"/>
    <w:rsid w:val="00B46531"/>
    <w:rsid w:val="00B51C1A"/>
    <w:rsid w:val="00B60FD6"/>
    <w:rsid w:val="00B60FF6"/>
    <w:rsid w:val="00B61BD4"/>
    <w:rsid w:val="00B67616"/>
    <w:rsid w:val="00B750F2"/>
    <w:rsid w:val="00B75C35"/>
    <w:rsid w:val="00B93396"/>
    <w:rsid w:val="00BB0B4F"/>
    <w:rsid w:val="00BB3D1C"/>
    <w:rsid w:val="00BB47A7"/>
    <w:rsid w:val="00BC5A5B"/>
    <w:rsid w:val="00BC6714"/>
    <w:rsid w:val="00BD0049"/>
    <w:rsid w:val="00BD121D"/>
    <w:rsid w:val="00BD2944"/>
    <w:rsid w:val="00BD35CD"/>
    <w:rsid w:val="00BD6E32"/>
    <w:rsid w:val="00BD7E58"/>
    <w:rsid w:val="00BF50AB"/>
    <w:rsid w:val="00C01B5D"/>
    <w:rsid w:val="00C0521C"/>
    <w:rsid w:val="00C11540"/>
    <w:rsid w:val="00C12423"/>
    <w:rsid w:val="00C13B75"/>
    <w:rsid w:val="00C159B7"/>
    <w:rsid w:val="00C15D2E"/>
    <w:rsid w:val="00C167F4"/>
    <w:rsid w:val="00C17E83"/>
    <w:rsid w:val="00C2204E"/>
    <w:rsid w:val="00C522B7"/>
    <w:rsid w:val="00C551F3"/>
    <w:rsid w:val="00C65B3F"/>
    <w:rsid w:val="00C77282"/>
    <w:rsid w:val="00C84001"/>
    <w:rsid w:val="00C90EF6"/>
    <w:rsid w:val="00CA2E1C"/>
    <w:rsid w:val="00CA5E88"/>
    <w:rsid w:val="00CC3DF5"/>
    <w:rsid w:val="00CC3F96"/>
    <w:rsid w:val="00CC53B4"/>
    <w:rsid w:val="00CD6B3B"/>
    <w:rsid w:val="00CE122E"/>
    <w:rsid w:val="00CF5457"/>
    <w:rsid w:val="00CF6842"/>
    <w:rsid w:val="00CF7378"/>
    <w:rsid w:val="00D165A3"/>
    <w:rsid w:val="00D23608"/>
    <w:rsid w:val="00D303C3"/>
    <w:rsid w:val="00D33E09"/>
    <w:rsid w:val="00D3583B"/>
    <w:rsid w:val="00D4748B"/>
    <w:rsid w:val="00D61BFF"/>
    <w:rsid w:val="00D63B60"/>
    <w:rsid w:val="00D7502C"/>
    <w:rsid w:val="00D84561"/>
    <w:rsid w:val="00D845F5"/>
    <w:rsid w:val="00DA002F"/>
    <w:rsid w:val="00DA2AAD"/>
    <w:rsid w:val="00DB4650"/>
    <w:rsid w:val="00DC1A57"/>
    <w:rsid w:val="00DD15E4"/>
    <w:rsid w:val="00DE3003"/>
    <w:rsid w:val="00DE3D9C"/>
    <w:rsid w:val="00DF3986"/>
    <w:rsid w:val="00DF3F0E"/>
    <w:rsid w:val="00E1485D"/>
    <w:rsid w:val="00E1566B"/>
    <w:rsid w:val="00E21E93"/>
    <w:rsid w:val="00E2573E"/>
    <w:rsid w:val="00E326E5"/>
    <w:rsid w:val="00E37869"/>
    <w:rsid w:val="00E42DC6"/>
    <w:rsid w:val="00E44341"/>
    <w:rsid w:val="00E547EC"/>
    <w:rsid w:val="00E64520"/>
    <w:rsid w:val="00E729CB"/>
    <w:rsid w:val="00E735D2"/>
    <w:rsid w:val="00E84AEB"/>
    <w:rsid w:val="00E85E6A"/>
    <w:rsid w:val="00E9064E"/>
    <w:rsid w:val="00E938A9"/>
    <w:rsid w:val="00EA2C51"/>
    <w:rsid w:val="00EA3CC4"/>
    <w:rsid w:val="00EC7046"/>
    <w:rsid w:val="00ED0F3F"/>
    <w:rsid w:val="00ED466C"/>
    <w:rsid w:val="00EE049A"/>
    <w:rsid w:val="00F04825"/>
    <w:rsid w:val="00F159B3"/>
    <w:rsid w:val="00F16749"/>
    <w:rsid w:val="00F20F7A"/>
    <w:rsid w:val="00F24082"/>
    <w:rsid w:val="00F33E65"/>
    <w:rsid w:val="00F40767"/>
    <w:rsid w:val="00F43554"/>
    <w:rsid w:val="00F4493E"/>
    <w:rsid w:val="00F4501B"/>
    <w:rsid w:val="00F63857"/>
    <w:rsid w:val="00F71146"/>
    <w:rsid w:val="00F71E09"/>
    <w:rsid w:val="00F8509C"/>
    <w:rsid w:val="00F8574E"/>
    <w:rsid w:val="00F8703D"/>
    <w:rsid w:val="00F957DE"/>
    <w:rsid w:val="00FA1237"/>
    <w:rsid w:val="00FA42E8"/>
    <w:rsid w:val="00FA76E3"/>
    <w:rsid w:val="00FA7922"/>
    <w:rsid w:val="00FB6CB3"/>
    <w:rsid w:val="00FB7CEC"/>
    <w:rsid w:val="00FC0AF7"/>
    <w:rsid w:val="00FC2804"/>
    <w:rsid w:val="00FC29F1"/>
    <w:rsid w:val="00FD0F49"/>
    <w:rsid w:val="00FD5F1B"/>
    <w:rsid w:val="00FD62F7"/>
    <w:rsid w:val="00FD66D9"/>
    <w:rsid w:val="00FE02F7"/>
    <w:rsid w:val="00FE2BC9"/>
    <w:rsid w:val="00FF2E9E"/>
    <w:rsid w:val="01B06F8A"/>
    <w:rsid w:val="05C2307C"/>
    <w:rsid w:val="05D6780C"/>
    <w:rsid w:val="083A2C88"/>
    <w:rsid w:val="09290AA2"/>
    <w:rsid w:val="09B10F1F"/>
    <w:rsid w:val="0A1B2E10"/>
    <w:rsid w:val="0AF11D5E"/>
    <w:rsid w:val="0BF51F71"/>
    <w:rsid w:val="0C9B300E"/>
    <w:rsid w:val="0CC70557"/>
    <w:rsid w:val="0D562DBD"/>
    <w:rsid w:val="0DC909E9"/>
    <w:rsid w:val="0EFD435B"/>
    <w:rsid w:val="0F062989"/>
    <w:rsid w:val="0FAF23FA"/>
    <w:rsid w:val="0FB52CC6"/>
    <w:rsid w:val="12847D02"/>
    <w:rsid w:val="13223B0D"/>
    <w:rsid w:val="159B46E7"/>
    <w:rsid w:val="168659C5"/>
    <w:rsid w:val="18C82BB8"/>
    <w:rsid w:val="192F6A56"/>
    <w:rsid w:val="19312403"/>
    <w:rsid w:val="19A626C1"/>
    <w:rsid w:val="19CE7BDF"/>
    <w:rsid w:val="1A6214D8"/>
    <w:rsid w:val="1AE74808"/>
    <w:rsid w:val="1B3F0954"/>
    <w:rsid w:val="1EFE108A"/>
    <w:rsid w:val="1F864654"/>
    <w:rsid w:val="1FD7A951"/>
    <w:rsid w:val="1FEFE6C3"/>
    <w:rsid w:val="20136211"/>
    <w:rsid w:val="23167C80"/>
    <w:rsid w:val="25A87DE0"/>
    <w:rsid w:val="28622F6C"/>
    <w:rsid w:val="2F810824"/>
    <w:rsid w:val="306E4115"/>
    <w:rsid w:val="337D41E1"/>
    <w:rsid w:val="346C36A0"/>
    <w:rsid w:val="34C33669"/>
    <w:rsid w:val="35983892"/>
    <w:rsid w:val="37122EDA"/>
    <w:rsid w:val="37DF1632"/>
    <w:rsid w:val="38C55B48"/>
    <w:rsid w:val="39D0B5EE"/>
    <w:rsid w:val="3AE66283"/>
    <w:rsid w:val="3D0B7CBC"/>
    <w:rsid w:val="3D0C109B"/>
    <w:rsid w:val="3E722460"/>
    <w:rsid w:val="3F320FF1"/>
    <w:rsid w:val="3F50086D"/>
    <w:rsid w:val="3FC94813"/>
    <w:rsid w:val="3FFEAE70"/>
    <w:rsid w:val="41CE01DF"/>
    <w:rsid w:val="42CB4C1E"/>
    <w:rsid w:val="445457E3"/>
    <w:rsid w:val="469900D9"/>
    <w:rsid w:val="46DD795F"/>
    <w:rsid w:val="46FA33DE"/>
    <w:rsid w:val="475A6B86"/>
    <w:rsid w:val="491C3092"/>
    <w:rsid w:val="499C64C3"/>
    <w:rsid w:val="49F578B4"/>
    <w:rsid w:val="4E771B99"/>
    <w:rsid w:val="4EEF19DF"/>
    <w:rsid w:val="4EEFCA0E"/>
    <w:rsid w:val="51464AF1"/>
    <w:rsid w:val="52F45C4B"/>
    <w:rsid w:val="572E62CE"/>
    <w:rsid w:val="57402E14"/>
    <w:rsid w:val="59BA22F2"/>
    <w:rsid w:val="5A0E427A"/>
    <w:rsid w:val="5AA35748"/>
    <w:rsid w:val="5AB6ABD5"/>
    <w:rsid w:val="5B2F7FBC"/>
    <w:rsid w:val="5DB0285E"/>
    <w:rsid w:val="5DE23987"/>
    <w:rsid w:val="5F9F7E98"/>
    <w:rsid w:val="5FD36BBC"/>
    <w:rsid w:val="603C3C9D"/>
    <w:rsid w:val="606854AE"/>
    <w:rsid w:val="61121548"/>
    <w:rsid w:val="61AC1387"/>
    <w:rsid w:val="61B70210"/>
    <w:rsid w:val="67AE4262"/>
    <w:rsid w:val="69BF2186"/>
    <w:rsid w:val="6B700740"/>
    <w:rsid w:val="6DAF03A5"/>
    <w:rsid w:val="6E727E83"/>
    <w:rsid w:val="709D1FDF"/>
    <w:rsid w:val="715F9A0C"/>
    <w:rsid w:val="72FE74BE"/>
    <w:rsid w:val="74350C65"/>
    <w:rsid w:val="750C0605"/>
    <w:rsid w:val="762C7D2C"/>
    <w:rsid w:val="77FB82C2"/>
    <w:rsid w:val="79A435C2"/>
    <w:rsid w:val="7CD51BEF"/>
    <w:rsid w:val="7D66308F"/>
    <w:rsid w:val="7DA3533B"/>
    <w:rsid w:val="7E084314"/>
    <w:rsid w:val="7FCE6E96"/>
    <w:rsid w:val="7FF3063B"/>
    <w:rsid w:val="977DECBD"/>
    <w:rsid w:val="B8DDF220"/>
    <w:rsid w:val="C3FEB478"/>
    <w:rsid w:val="E3FFD884"/>
    <w:rsid w:val="EEEA92EE"/>
    <w:rsid w:val="FB4FACB9"/>
    <w:rsid w:val="FBED5C6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10" w:semiHidden="0" w:name="heading 4"/>
    <w:lsdException w:qFormat="1" w:unhideWhenUsed="0" w:uiPriority="11" w:semiHidden="0" w:name="heading 5"/>
    <w:lsdException w:qFormat="1" w:unhideWhenUsed="0" w:uiPriority="12" w:semiHidden="0" w:name="heading 6"/>
    <w:lsdException w:qFormat="1" w:unhideWhenUsed="0" w:uiPriority="13" w:semiHidden="0" w:name="heading 7"/>
    <w:lsdException w:qFormat="1" w:unhideWhenUsed="0" w:uiPriority="14" w:semiHidden="0" w:name="heading 8"/>
    <w:lsdException w:qFormat="1" w:unhideWhenUsed="0" w:uiPriority="15"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iPriority="31" w:semiHidden="0" w:name="toc 4"/>
    <w:lsdException w:qFormat="1" w:uiPriority="32" w:semiHidden="0" w:name="toc 5"/>
    <w:lsdException w:qFormat="1" w:uiPriority="33" w:semiHidden="0" w:name="toc 6"/>
    <w:lsdException w:qFormat="1" w:uiPriority="34" w:semiHidden="0" w:name="toc 7"/>
    <w:lsdException w:qFormat="1" w:uiPriority="35" w:semiHidden="0" w:name="toc 8"/>
    <w:lsdException w:qFormat="1" w:uiPriority="36" w:semiHidden="0" w:name="toc 9"/>
    <w:lsdException w:uiPriority="99" w:name="Normal Indent" w:locked="1"/>
    <w:lsdException w:qFormat="1" w:unhideWhenUsed="0" w:uiPriority="0" w:semiHidden="0" w:name="footnote text"/>
    <w:lsdException w:qFormat="1" w:uiPriority="0"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qFormat="1" w:unhideWhenUsed="0" w:uiPriority="0" w:semiHidden="0" w:name="footnote reference"/>
    <w:lsdException w:qFormat="1" w:uiPriority="0" w:name="annotation reference" w:locked="1"/>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6"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6"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18" w:semiHidden="0" w:name="Emphasis"/>
    <w:lsdException w:qFormat="1" w:uiPriority="99" w:name="Document Map" w:locked="1"/>
    <w:lsdException w:uiPriority="99" w:name="Plain Text" w:locked="1"/>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0"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1" w:semiHidden="0" w:name="Quote"/>
    <w:lsdException w:qFormat="1" w:unhideWhenUsed="0" w:uiPriority="22"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9"/>
    <w:qFormat/>
    <w:uiPriority w:val="9"/>
    <w:pPr>
      <w:keepNext/>
      <w:keepLines/>
      <w:spacing w:before="240" w:after="240" w:line="360" w:lineRule="auto"/>
      <w:outlineLvl w:val="0"/>
    </w:pPr>
    <w:rPr>
      <w:b/>
      <w:bCs/>
      <w:kern w:val="44"/>
      <w:sz w:val="36"/>
      <w:szCs w:val="44"/>
    </w:rPr>
  </w:style>
  <w:style w:type="paragraph" w:styleId="3">
    <w:name w:val="heading 2"/>
    <w:basedOn w:val="1"/>
    <w:next w:val="1"/>
    <w:link w:val="40"/>
    <w:qFormat/>
    <w:uiPriority w:val="9"/>
    <w:pPr>
      <w:keepNext/>
      <w:keepLines/>
      <w:spacing w:before="240" w:after="240" w:line="360" w:lineRule="auto"/>
      <w:outlineLvl w:val="1"/>
    </w:pPr>
    <w:rPr>
      <w:rFonts w:ascii="Cambria" w:hAnsi="Cambria"/>
      <w:b/>
      <w:bCs/>
      <w:sz w:val="32"/>
      <w:szCs w:val="32"/>
    </w:rPr>
  </w:style>
  <w:style w:type="paragraph" w:styleId="4">
    <w:name w:val="heading 3"/>
    <w:basedOn w:val="1"/>
    <w:next w:val="1"/>
    <w:link w:val="41"/>
    <w:qFormat/>
    <w:uiPriority w:val="9"/>
    <w:pPr>
      <w:keepNext/>
      <w:keepLines/>
      <w:spacing w:before="120" w:after="120" w:line="360" w:lineRule="auto"/>
      <w:outlineLvl w:val="2"/>
    </w:pPr>
    <w:rPr>
      <w:rFonts w:ascii="Times New Roman" w:hAnsi="Times New Roman"/>
      <w:b/>
      <w:bCs/>
      <w:kern w:val="0"/>
      <w:sz w:val="30"/>
      <w:szCs w:val="32"/>
    </w:rPr>
  </w:style>
  <w:style w:type="paragraph" w:styleId="5">
    <w:name w:val="heading 4"/>
    <w:next w:val="1"/>
    <w:link w:val="54"/>
    <w:qFormat/>
    <w:uiPriority w:val="10"/>
    <w:pPr>
      <w:ind w:left="1200" w:hanging="400"/>
      <w:jc w:val="both"/>
      <w:outlineLvl w:val="3"/>
    </w:pPr>
    <w:rPr>
      <w:rFonts w:ascii="Calibri" w:hAnsi="Calibri" w:eastAsia="Times New Roman" w:cstheme="minorBidi"/>
      <w:b/>
      <w:sz w:val="21"/>
      <w:szCs w:val="21"/>
      <w:lang w:val="en-US" w:eastAsia="zh-CN" w:bidi="ar-SA"/>
    </w:rPr>
  </w:style>
  <w:style w:type="paragraph" w:styleId="6">
    <w:name w:val="heading 5"/>
    <w:next w:val="1"/>
    <w:link w:val="55"/>
    <w:qFormat/>
    <w:uiPriority w:val="11"/>
    <w:pPr>
      <w:ind w:left="1400" w:hanging="400"/>
      <w:jc w:val="both"/>
      <w:outlineLvl w:val="4"/>
    </w:pPr>
    <w:rPr>
      <w:rFonts w:ascii="Calibri" w:hAnsi="Calibri" w:eastAsia="Times New Roman" w:cstheme="minorBidi"/>
      <w:sz w:val="21"/>
      <w:szCs w:val="21"/>
      <w:lang w:val="en-US" w:eastAsia="zh-CN" w:bidi="ar-SA"/>
    </w:rPr>
  </w:style>
  <w:style w:type="paragraph" w:styleId="7">
    <w:name w:val="heading 6"/>
    <w:next w:val="1"/>
    <w:link w:val="56"/>
    <w:qFormat/>
    <w:uiPriority w:val="12"/>
    <w:pPr>
      <w:ind w:left="1600" w:hanging="400"/>
      <w:jc w:val="both"/>
      <w:outlineLvl w:val="5"/>
    </w:pPr>
    <w:rPr>
      <w:rFonts w:ascii="Calibri" w:hAnsi="Calibri" w:eastAsia="Times New Roman" w:cstheme="minorBidi"/>
      <w:b/>
      <w:sz w:val="21"/>
      <w:szCs w:val="21"/>
      <w:lang w:val="en-US" w:eastAsia="zh-CN" w:bidi="ar-SA"/>
    </w:rPr>
  </w:style>
  <w:style w:type="paragraph" w:styleId="8">
    <w:name w:val="heading 7"/>
    <w:next w:val="1"/>
    <w:link w:val="57"/>
    <w:qFormat/>
    <w:uiPriority w:val="13"/>
    <w:pPr>
      <w:ind w:left="1800" w:hanging="400"/>
      <w:jc w:val="both"/>
      <w:outlineLvl w:val="6"/>
    </w:pPr>
    <w:rPr>
      <w:rFonts w:ascii="Calibri" w:hAnsi="Calibri" w:eastAsia="Times New Roman" w:cstheme="minorBidi"/>
      <w:sz w:val="21"/>
      <w:szCs w:val="21"/>
      <w:lang w:val="en-US" w:eastAsia="zh-CN" w:bidi="ar-SA"/>
    </w:rPr>
  </w:style>
  <w:style w:type="paragraph" w:styleId="9">
    <w:name w:val="heading 8"/>
    <w:next w:val="1"/>
    <w:link w:val="58"/>
    <w:qFormat/>
    <w:uiPriority w:val="14"/>
    <w:pPr>
      <w:ind w:left="2000" w:hanging="400"/>
      <w:jc w:val="both"/>
      <w:outlineLvl w:val="7"/>
    </w:pPr>
    <w:rPr>
      <w:rFonts w:ascii="Calibri" w:hAnsi="Calibri" w:eastAsia="Times New Roman" w:cstheme="minorBidi"/>
      <w:sz w:val="21"/>
      <w:szCs w:val="21"/>
      <w:lang w:val="en-US" w:eastAsia="zh-CN" w:bidi="ar-SA"/>
    </w:rPr>
  </w:style>
  <w:style w:type="paragraph" w:styleId="10">
    <w:name w:val="heading 9"/>
    <w:next w:val="1"/>
    <w:link w:val="59"/>
    <w:qFormat/>
    <w:uiPriority w:val="15"/>
    <w:pPr>
      <w:ind w:left="2200" w:hanging="400"/>
      <w:jc w:val="both"/>
      <w:outlineLvl w:val="8"/>
    </w:pPr>
    <w:rPr>
      <w:rFonts w:ascii="Calibri" w:hAnsi="Calibri" w:eastAsia="Times New Roman" w:cstheme="minorBidi"/>
      <w:sz w:val="21"/>
      <w:szCs w:val="21"/>
      <w:lang w:val="en-US" w:eastAsia="zh-CN" w:bidi="ar-SA"/>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next w:val="1"/>
    <w:unhideWhenUsed/>
    <w:qFormat/>
    <w:uiPriority w:val="34"/>
    <w:pPr>
      <w:ind w:left="2550"/>
      <w:jc w:val="both"/>
    </w:pPr>
    <w:rPr>
      <w:rFonts w:ascii="Calibri" w:hAnsi="Calibri" w:eastAsia="Times New Roman" w:cstheme="minorBidi"/>
      <w:sz w:val="21"/>
      <w:szCs w:val="21"/>
      <w:lang w:val="en-US" w:eastAsia="zh-CN" w:bidi="ar-SA"/>
    </w:rPr>
  </w:style>
  <w:style w:type="paragraph" w:styleId="12">
    <w:name w:val="Document Map"/>
    <w:basedOn w:val="1"/>
    <w:link w:val="82"/>
    <w:semiHidden/>
    <w:unhideWhenUsed/>
    <w:qFormat/>
    <w:locked/>
    <w:uiPriority w:val="99"/>
    <w:rPr>
      <w:rFonts w:ascii="宋体" w:hAnsiTheme="minorHAnsi" w:cstheme="minorBidi"/>
      <w:sz w:val="18"/>
      <w:szCs w:val="18"/>
    </w:rPr>
  </w:style>
  <w:style w:type="paragraph" w:styleId="13">
    <w:name w:val="annotation text"/>
    <w:basedOn w:val="1"/>
    <w:link w:val="50"/>
    <w:semiHidden/>
    <w:unhideWhenUsed/>
    <w:qFormat/>
    <w:locked/>
    <w:uiPriority w:val="0"/>
    <w:pPr>
      <w:jc w:val="left"/>
    </w:pPr>
  </w:style>
  <w:style w:type="paragraph" w:styleId="14">
    <w:name w:val="toc 5"/>
    <w:next w:val="1"/>
    <w:unhideWhenUsed/>
    <w:qFormat/>
    <w:uiPriority w:val="32"/>
    <w:pPr>
      <w:ind w:left="1700"/>
      <w:jc w:val="both"/>
    </w:pPr>
    <w:rPr>
      <w:rFonts w:ascii="Calibri" w:hAnsi="Calibri" w:eastAsia="Times New Roman" w:cstheme="minorBidi"/>
      <w:sz w:val="21"/>
      <w:szCs w:val="21"/>
      <w:lang w:val="en-US" w:eastAsia="zh-CN" w:bidi="ar-SA"/>
    </w:rPr>
  </w:style>
  <w:style w:type="paragraph" w:styleId="15">
    <w:name w:val="toc 3"/>
    <w:basedOn w:val="1"/>
    <w:next w:val="1"/>
    <w:qFormat/>
    <w:uiPriority w:val="39"/>
    <w:pPr>
      <w:widowControl/>
      <w:spacing w:after="100" w:line="259" w:lineRule="auto"/>
      <w:ind w:left="440"/>
      <w:jc w:val="left"/>
    </w:pPr>
    <w:rPr>
      <w:kern w:val="0"/>
      <w:sz w:val="22"/>
    </w:rPr>
  </w:style>
  <w:style w:type="paragraph" w:styleId="16">
    <w:name w:val="toc 8"/>
    <w:next w:val="1"/>
    <w:unhideWhenUsed/>
    <w:qFormat/>
    <w:uiPriority w:val="35"/>
    <w:pPr>
      <w:ind w:left="2975"/>
      <w:jc w:val="both"/>
    </w:pPr>
    <w:rPr>
      <w:rFonts w:ascii="Calibri" w:hAnsi="Calibri" w:eastAsia="Times New Roman" w:cstheme="minorBidi"/>
      <w:sz w:val="21"/>
      <w:szCs w:val="21"/>
      <w:lang w:val="en-US" w:eastAsia="zh-CN" w:bidi="ar-SA"/>
    </w:rPr>
  </w:style>
  <w:style w:type="paragraph" w:styleId="17">
    <w:name w:val="Balloon Text"/>
    <w:basedOn w:val="1"/>
    <w:link w:val="42"/>
    <w:semiHidden/>
    <w:qFormat/>
    <w:uiPriority w:val="99"/>
    <w:rPr>
      <w:rFonts w:ascii="宋体"/>
      <w:sz w:val="18"/>
      <w:szCs w:val="18"/>
    </w:rPr>
  </w:style>
  <w:style w:type="paragraph" w:styleId="18">
    <w:name w:val="footer"/>
    <w:basedOn w:val="1"/>
    <w:link w:val="43"/>
    <w:qFormat/>
    <w:uiPriority w:val="99"/>
    <w:pPr>
      <w:tabs>
        <w:tab w:val="center" w:pos="4153"/>
        <w:tab w:val="right" w:pos="8306"/>
      </w:tabs>
      <w:snapToGrid w:val="0"/>
      <w:jc w:val="left"/>
    </w:pPr>
    <w:rPr>
      <w:sz w:val="18"/>
      <w:szCs w:val="18"/>
    </w:rPr>
  </w:style>
  <w:style w:type="paragraph" w:styleId="19">
    <w:name w:val="header"/>
    <w:basedOn w:val="1"/>
    <w:link w:val="44"/>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widowControl/>
      <w:spacing w:after="100" w:line="259" w:lineRule="auto"/>
      <w:jc w:val="left"/>
    </w:pPr>
    <w:rPr>
      <w:kern w:val="0"/>
      <w:sz w:val="22"/>
    </w:rPr>
  </w:style>
  <w:style w:type="paragraph" w:styleId="21">
    <w:name w:val="toc 4"/>
    <w:next w:val="1"/>
    <w:unhideWhenUsed/>
    <w:qFormat/>
    <w:uiPriority w:val="31"/>
    <w:pPr>
      <w:ind w:left="1275"/>
      <w:jc w:val="both"/>
    </w:pPr>
    <w:rPr>
      <w:rFonts w:ascii="Calibri" w:hAnsi="Calibri" w:eastAsia="Times New Roman" w:cstheme="minorBidi"/>
      <w:sz w:val="21"/>
      <w:szCs w:val="21"/>
      <w:lang w:val="en-US" w:eastAsia="zh-CN" w:bidi="ar-SA"/>
    </w:rPr>
  </w:style>
  <w:style w:type="paragraph" w:styleId="22">
    <w:name w:val="Subtitle"/>
    <w:link w:val="60"/>
    <w:qFormat/>
    <w:uiPriority w:val="16"/>
    <w:pPr>
      <w:jc w:val="center"/>
    </w:pPr>
    <w:rPr>
      <w:rFonts w:ascii="Calibri" w:hAnsi="Calibri" w:eastAsia="Times New Roman" w:cstheme="minorBidi"/>
      <w:sz w:val="24"/>
      <w:szCs w:val="24"/>
      <w:lang w:val="en-US" w:eastAsia="zh-CN" w:bidi="ar-SA"/>
    </w:rPr>
  </w:style>
  <w:style w:type="paragraph" w:styleId="23">
    <w:name w:val="footnote text"/>
    <w:basedOn w:val="1"/>
    <w:link w:val="45"/>
    <w:qFormat/>
    <w:uiPriority w:val="0"/>
    <w:pPr>
      <w:snapToGrid w:val="0"/>
      <w:jc w:val="left"/>
    </w:pPr>
    <w:rPr>
      <w:rFonts w:ascii="Times New Roman" w:hAnsi="Times New Roman"/>
      <w:sz w:val="18"/>
      <w:szCs w:val="18"/>
    </w:rPr>
  </w:style>
  <w:style w:type="paragraph" w:styleId="24">
    <w:name w:val="toc 6"/>
    <w:next w:val="1"/>
    <w:unhideWhenUsed/>
    <w:qFormat/>
    <w:uiPriority w:val="33"/>
    <w:pPr>
      <w:ind w:left="2125"/>
      <w:jc w:val="both"/>
    </w:pPr>
    <w:rPr>
      <w:rFonts w:ascii="Calibri" w:hAnsi="Calibri" w:eastAsia="Times New Roman" w:cstheme="minorBidi"/>
      <w:sz w:val="21"/>
      <w:szCs w:val="21"/>
      <w:lang w:val="en-US" w:eastAsia="zh-CN" w:bidi="ar-SA"/>
    </w:rPr>
  </w:style>
  <w:style w:type="paragraph" w:styleId="25">
    <w:name w:val="toc 2"/>
    <w:basedOn w:val="1"/>
    <w:next w:val="1"/>
    <w:qFormat/>
    <w:uiPriority w:val="39"/>
    <w:pPr>
      <w:widowControl/>
      <w:spacing w:after="100" w:line="259" w:lineRule="auto"/>
      <w:ind w:left="220"/>
      <w:jc w:val="left"/>
    </w:pPr>
    <w:rPr>
      <w:kern w:val="0"/>
      <w:sz w:val="22"/>
    </w:rPr>
  </w:style>
  <w:style w:type="paragraph" w:styleId="26">
    <w:name w:val="toc 9"/>
    <w:next w:val="1"/>
    <w:unhideWhenUsed/>
    <w:qFormat/>
    <w:uiPriority w:val="36"/>
    <w:pPr>
      <w:ind w:left="3400"/>
      <w:jc w:val="both"/>
    </w:pPr>
    <w:rPr>
      <w:rFonts w:ascii="Calibri" w:hAnsi="Calibri" w:eastAsia="Times New Roman" w:cstheme="minorBidi"/>
      <w:sz w:val="21"/>
      <w:szCs w:val="21"/>
      <w:lang w:val="en-US" w:eastAsia="zh-CN" w:bidi="ar-SA"/>
    </w:rPr>
  </w:style>
  <w:style w:type="paragraph" w:styleId="2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8">
    <w:name w:val="Title"/>
    <w:link w:val="61"/>
    <w:qFormat/>
    <w:uiPriority w:val="6"/>
    <w:pPr>
      <w:jc w:val="center"/>
    </w:pPr>
    <w:rPr>
      <w:rFonts w:ascii="Calibri" w:hAnsi="Calibri" w:eastAsia="Times New Roman" w:cstheme="minorBidi"/>
      <w:b/>
      <w:sz w:val="32"/>
      <w:szCs w:val="32"/>
      <w:lang w:val="en-US" w:eastAsia="zh-CN" w:bidi="ar-SA"/>
    </w:rPr>
  </w:style>
  <w:style w:type="paragraph" w:styleId="29">
    <w:name w:val="annotation subject"/>
    <w:basedOn w:val="13"/>
    <w:next w:val="13"/>
    <w:link w:val="51"/>
    <w:semiHidden/>
    <w:unhideWhenUsed/>
    <w:qFormat/>
    <w:locked/>
    <w:uiPriority w:val="0"/>
    <w:rPr>
      <w:b/>
      <w:bCs/>
    </w:rPr>
  </w:style>
  <w:style w:type="table" w:styleId="31">
    <w:name w:val="Table Grid"/>
    <w:basedOn w:val="30"/>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0"/>
    <w:rPr>
      <w:b/>
      <w:w w:val="100"/>
      <w:sz w:val="21"/>
      <w:szCs w:val="21"/>
      <w:shd w:val="clear" w:color="auto" w:fill="auto"/>
    </w:rPr>
  </w:style>
  <w:style w:type="character" w:styleId="34">
    <w:name w:val="page number"/>
    <w:basedOn w:val="32"/>
    <w:qFormat/>
    <w:locked/>
    <w:uiPriority w:val="0"/>
    <w:rPr>
      <w:rFonts w:cs="Times New Roman"/>
    </w:rPr>
  </w:style>
  <w:style w:type="character" w:styleId="35">
    <w:name w:val="Emphasis"/>
    <w:qFormat/>
    <w:uiPriority w:val="18"/>
    <w:rPr>
      <w:i/>
      <w:w w:val="100"/>
      <w:sz w:val="21"/>
      <w:szCs w:val="21"/>
      <w:shd w:val="clear" w:color="auto" w:fill="auto"/>
    </w:rPr>
  </w:style>
  <w:style w:type="character" w:styleId="36">
    <w:name w:val="Hyperlink"/>
    <w:qFormat/>
    <w:uiPriority w:val="99"/>
    <w:rPr>
      <w:rFonts w:cs="Times New Roman"/>
      <w:color w:val="000000"/>
      <w:u w:val="none"/>
    </w:rPr>
  </w:style>
  <w:style w:type="character" w:styleId="37">
    <w:name w:val="annotation reference"/>
    <w:basedOn w:val="32"/>
    <w:semiHidden/>
    <w:unhideWhenUsed/>
    <w:qFormat/>
    <w:locked/>
    <w:uiPriority w:val="0"/>
    <w:rPr>
      <w:sz w:val="21"/>
      <w:szCs w:val="21"/>
    </w:rPr>
  </w:style>
  <w:style w:type="character" w:styleId="38">
    <w:name w:val="footnote reference"/>
    <w:qFormat/>
    <w:uiPriority w:val="0"/>
    <w:rPr>
      <w:rFonts w:cs="Times New Roman"/>
      <w:vertAlign w:val="superscript"/>
    </w:rPr>
  </w:style>
  <w:style w:type="character" w:customStyle="1" w:styleId="39">
    <w:name w:val="标题 1 Char"/>
    <w:link w:val="2"/>
    <w:qFormat/>
    <w:locked/>
    <w:uiPriority w:val="9"/>
    <w:rPr>
      <w:b/>
      <w:bCs/>
      <w:kern w:val="44"/>
      <w:sz w:val="36"/>
      <w:szCs w:val="44"/>
    </w:rPr>
  </w:style>
  <w:style w:type="character" w:customStyle="1" w:styleId="40">
    <w:name w:val="标题 2 Char"/>
    <w:link w:val="3"/>
    <w:qFormat/>
    <w:locked/>
    <w:uiPriority w:val="9"/>
    <w:rPr>
      <w:rFonts w:ascii="Cambria" w:hAnsi="Cambria"/>
      <w:b/>
      <w:bCs/>
      <w:kern w:val="2"/>
      <w:sz w:val="32"/>
      <w:szCs w:val="32"/>
    </w:rPr>
  </w:style>
  <w:style w:type="character" w:customStyle="1" w:styleId="41">
    <w:name w:val="标题 3 Char1"/>
    <w:link w:val="4"/>
    <w:qFormat/>
    <w:locked/>
    <w:uiPriority w:val="0"/>
    <w:rPr>
      <w:rFonts w:ascii="Times New Roman" w:hAnsi="Times New Roman"/>
      <w:b/>
      <w:bCs/>
      <w:sz w:val="30"/>
      <w:szCs w:val="32"/>
    </w:rPr>
  </w:style>
  <w:style w:type="character" w:customStyle="1" w:styleId="42">
    <w:name w:val="批注框文本 Char"/>
    <w:link w:val="17"/>
    <w:semiHidden/>
    <w:qFormat/>
    <w:locked/>
    <w:uiPriority w:val="99"/>
    <w:rPr>
      <w:rFonts w:ascii="宋体" w:eastAsia="宋体" w:cs="Times New Roman"/>
      <w:sz w:val="18"/>
      <w:szCs w:val="18"/>
    </w:rPr>
  </w:style>
  <w:style w:type="character" w:customStyle="1" w:styleId="43">
    <w:name w:val="页脚 Char"/>
    <w:link w:val="18"/>
    <w:qFormat/>
    <w:locked/>
    <w:uiPriority w:val="99"/>
    <w:rPr>
      <w:rFonts w:cs="Times New Roman"/>
      <w:sz w:val="18"/>
      <w:szCs w:val="18"/>
    </w:rPr>
  </w:style>
  <w:style w:type="character" w:customStyle="1" w:styleId="44">
    <w:name w:val="页眉 Char"/>
    <w:link w:val="19"/>
    <w:qFormat/>
    <w:locked/>
    <w:uiPriority w:val="99"/>
    <w:rPr>
      <w:rFonts w:cs="Times New Roman"/>
      <w:sz w:val="18"/>
      <w:szCs w:val="18"/>
    </w:rPr>
  </w:style>
  <w:style w:type="character" w:customStyle="1" w:styleId="45">
    <w:name w:val="脚注文本 Char"/>
    <w:link w:val="23"/>
    <w:qFormat/>
    <w:locked/>
    <w:uiPriority w:val="0"/>
    <w:rPr>
      <w:rFonts w:ascii="Times New Roman" w:hAnsi="Times New Roman" w:eastAsia="宋体" w:cs="Times New Roman"/>
      <w:sz w:val="18"/>
      <w:szCs w:val="18"/>
    </w:rPr>
  </w:style>
  <w:style w:type="character" w:customStyle="1" w:styleId="46">
    <w:name w:val="标题 3 Char"/>
    <w:semiHidden/>
    <w:qFormat/>
    <w:uiPriority w:val="0"/>
    <w:rPr>
      <w:rFonts w:cs="Times New Roman"/>
      <w:b/>
      <w:bCs/>
      <w:sz w:val="32"/>
      <w:szCs w:val="32"/>
    </w:rPr>
  </w:style>
  <w:style w:type="paragraph" w:customStyle="1" w:styleId="47">
    <w:name w:val="标题3"/>
    <w:basedOn w:val="1"/>
    <w:qFormat/>
    <w:uiPriority w:val="0"/>
    <w:pPr>
      <w:spacing w:before="120" w:after="240" w:line="360" w:lineRule="exact"/>
      <w:ind w:firstLine="200" w:firstLineChars="200"/>
      <w:jc w:val="left"/>
      <w:outlineLvl w:val="2"/>
    </w:pPr>
    <w:rPr>
      <w:rFonts w:ascii="仿宋_GB2312" w:hAnsi="宋体" w:eastAsia="仿宋_GB2312"/>
      <w:b/>
      <w:sz w:val="28"/>
      <w:szCs w:val="28"/>
    </w:rPr>
  </w:style>
  <w:style w:type="paragraph" w:styleId="48">
    <w:name w:val="List Paragraph"/>
    <w:basedOn w:val="1"/>
    <w:qFormat/>
    <w:uiPriority w:val="34"/>
    <w:pPr>
      <w:ind w:firstLine="420" w:firstLineChars="200"/>
    </w:pPr>
  </w:style>
  <w:style w:type="table" w:customStyle="1" w:styleId="49">
    <w:name w:val="Grid Table Light"/>
    <w:qFormat/>
    <w:uiPriority w:val="38"/>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character" w:customStyle="1" w:styleId="50">
    <w:name w:val="批注文字 Char"/>
    <w:basedOn w:val="32"/>
    <w:link w:val="13"/>
    <w:semiHidden/>
    <w:qFormat/>
    <w:uiPriority w:val="0"/>
    <w:rPr>
      <w:kern w:val="2"/>
      <w:sz w:val="21"/>
      <w:szCs w:val="22"/>
    </w:rPr>
  </w:style>
  <w:style w:type="character" w:customStyle="1" w:styleId="51">
    <w:name w:val="批注主题 Char"/>
    <w:basedOn w:val="50"/>
    <w:link w:val="29"/>
    <w:semiHidden/>
    <w:qFormat/>
    <w:uiPriority w:val="0"/>
    <w:rPr>
      <w:b/>
      <w:bCs/>
      <w:kern w:val="2"/>
      <w:sz w:val="21"/>
      <w:szCs w:val="22"/>
    </w:rPr>
  </w:style>
  <w:style w:type="paragraph" w:customStyle="1" w:styleId="52">
    <w:name w:val="TOC 标题1"/>
    <w:basedOn w:val="2"/>
    <w:next w:val="1"/>
    <w:unhideWhenUsed/>
    <w:qFormat/>
    <w:uiPriority w:val="27"/>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53">
    <w:name w:val="修订1"/>
    <w:hidden/>
    <w:unhideWhenUsed/>
    <w:qFormat/>
    <w:uiPriority w:val="0"/>
    <w:rPr>
      <w:rFonts w:ascii="Calibri" w:hAnsi="Calibri" w:eastAsia="宋体" w:cs="Times New Roman"/>
      <w:kern w:val="2"/>
      <w:sz w:val="21"/>
      <w:szCs w:val="22"/>
      <w:lang w:val="en-US" w:eastAsia="zh-CN" w:bidi="ar-SA"/>
    </w:rPr>
  </w:style>
  <w:style w:type="character" w:customStyle="1" w:styleId="54">
    <w:name w:val="标题 4 Char"/>
    <w:basedOn w:val="32"/>
    <w:link w:val="5"/>
    <w:qFormat/>
    <w:uiPriority w:val="0"/>
    <w:rPr>
      <w:rFonts w:eastAsia="Times New Roman" w:cstheme="minorBidi"/>
      <w:b/>
      <w:sz w:val="21"/>
      <w:szCs w:val="21"/>
    </w:rPr>
  </w:style>
  <w:style w:type="character" w:customStyle="1" w:styleId="55">
    <w:name w:val="标题 5 Char"/>
    <w:basedOn w:val="32"/>
    <w:link w:val="6"/>
    <w:qFormat/>
    <w:uiPriority w:val="0"/>
    <w:rPr>
      <w:rFonts w:eastAsia="Times New Roman" w:cstheme="minorBidi"/>
      <w:sz w:val="21"/>
      <w:szCs w:val="21"/>
    </w:rPr>
  </w:style>
  <w:style w:type="character" w:customStyle="1" w:styleId="56">
    <w:name w:val="标题 6 Char"/>
    <w:basedOn w:val="32"/>
    <w:link w:val="7"/>
    <w:qFormat/>
    <w:uiPriority w:val="0"/>
    <w:rPr>
      <w:rFonts w:eastAsia="Times New Roman" w:cstheme="minorBidi"/>
      <w:b/>
      <w:sz w:val="21"/>
      <w:szCs w:val="21"/>
    </w:rPr>
  </w:style>
  <w:style w:type="character" w:customStyle="1" w:styleId="57">
    <w:name w:val="标题 7 Char"/>
    <w:basedOn w:val="32"/>
    <w:link w:val="8"/>
    <w:qFormat/>
    <w:uiPriority w:val="0"/>
    <w:rPr>
      <w:rFonts w:eastAsia="Times New Roman" w:cstheme="minorBidi"/>
      <w:sz w:val="21"/>
      <w:szCs w:val="21"/>
    </w:rPr>
  </w:style>
  <w:style w:type="character" w:customStyle="1" w:styleId="58">
    <w:name w:val="标题 8 Char"/>
    <w:basedOn w:val="32"/>
    <w:link w:val="9"/>
    <w:qFormat/>
    <w:uiPriority w:val="0"/>
    <w:rPr>
      <w:rFonts w:eastAsia="Times New Roman" w:cstheme="minorBidi"/>
      <w:sz w:val="21"/>
      <w:szCs w:val="21"/>
    </w:rPr>
  </w:style>
  <w:style w:type="character" w:customStyle="1" w:styleId="59">
    <w:name w:val="标题 9 Char"/>
    <w:basedOn w:val="32"/>
    <w:link w:val="10"/>
    <w:qFormat/>
    <w:uiPriority w:val="0"/>
    <w:rPr>
      <w:rFonts w:eastAsia="Times New Roman" w:cstheme="minorBidi"/>
      <w:sz w:val="21"/>
      <w:szCs w:val="21"/>
    </w:rPr>
  </w:style>
  <w:style w:type="character" w:customStyle="1" w:styleId="60">
    <w:name w:val="副标题 Char"/>
    <w:basedOn w:val="32"/>
    <w:link w:val="22"/>
    <w:qFormat/>
    <w:uiPriority w:val="0"/>
    <w:rPr>
      <w:rFonts w:eastAsia="Times New Roman" w:cstheme="minorBidi"/>
      <w:sz w:val="24"/>
      <w:szCs w:val="24"/>
    </w:rPr>
  </w:style>
  <w:style w:type="character" w:customStyle="1" w:styleId="61">
    <w:name w:val="标题 Char"/>
    <w:basedOn w:val="32"/>
    <w:link w:val="28"/>
    <w:qFormat/>
    <w:uiPriority w:val="0"/>
    <w:rPr>
      <w:rFonts w:eastAsia="Times New Roman" w:cstheme="minorBidi"/>
      <w:b/>
      <w:sz w:val="32"/>
      <w:szCs w:val="32"/>
    </w:rPr>
  </w:style>
  <w:style w:type="paragraph" w:styleId="62">
    <w:name w:val="No Spacing"/>
    <w:link w:val="83"/>
    <w:qFormat/>
    <w:uiPriority w:val="1"/>
    <w:pPr>
      <w:jc w:val="both"/>
    </w:pPr>
    <w:rPr>
      <w:rFonts w:ascii="Calibri" w:hAnsi="Calibri" w:eastAsia="Times New Roman" w:cstheme="minorBidi"/>
      <w:sz w:val="21"/>
      <w:szCs w:val="21"/>
      <w:lang w:val="en-US" w:eastAsia="zh-CN" w:bidi="ar-SA"/>
    </w:rPr>
  </w:style>
  <w:style w:type="character" w:customStyle="1" w:styleId="63">
    <w:name w:val="不明显强调1"/>
    <w:qFormat/>
    <w:uiPriority w:val="17"/>
    <w:rPr>
      <w:i/>
      <w:color w:val="404040"/>
      <w:w w:val="100"/>
      <w:sz w:val="21"/>
      <w:szCs w:val="21"/>
      <w:shd w:val="clear" w:color="auto" w:fill="auto"/>
    </w:rPr>
  </w:style>
  <w:style w:type="character" w:customStyle="1" w:styleId="64">
    <w:name w:val="明显强调1"/>
    <w:qFormat/>
    <w:uiPriority w:val="19"/>
    <w:rPr>
      <w:i/>
      <w:color w:val="5B9BD5"/>
      <w:w w:val="100"/>
      <w:sz w:val="21"/>
      <w:szCs w:val="21"/>
      <w:shd w:val="clear" w:color="auto" w:fill="auto"/>
    </w:rPr>
  </w:style>
  <w:style w:type="paragraph" w:styleId="65">
    <w:name w:val="Quote"/>
    <w:link w:val="66"/>
    <w:qFormat/>
    <w:uiPriority w:val="21"/>
    <w:pPr>
      <w:ind w:left="864" w:right="864"/>
      <w:jc w:val="center"/>
    </w:pPr>
    <w:rPr>
      <w:rFonts w:ascii="Calibri" w:hAnsi="Calibri" w:eastAsia="Times New Roman" w:cstheme="minorBidi"/>
      <w:i/>
      <w:color w:val="404040"/>
      <w:sz w:val="21"/>
      <w:szCs w:val="21"/>
      <w:lang w:val="en-US" w:eastAsia="zh-CN" w:bidi="ar-SA"/>
    </w:rPr>
  </w:style>
  <w:style w:type="character" w:customStyle="1" w:styleId="66">
    <w:name w:val="引用 Char"/>
    <w:basedOn w:val="32"/>
    <w:link w:val="65"/>
    <w:qFormat/>
    <w:uiPriority w:val="0"/>
    <w:rPr>
      <w:rFonts w:eastAsia="Times New Roman" w:cstheme="minorBidi"/>
      <w:i/>
      <w:color w:val="404040"/>
      <w:sz w:val="21"/>
      <w:szCs w:val="21"/>
    </w:rPr>
  </w:style>
  <w:style w:type="paragraph" w:styleId="67">
    <w:name w:val="Intense Quote"/>
    <w:link w:val="68"/>
    <w:qFormat/>
    <w:uiPriority w:val="22"/>
    <w:pPr>
      <w:ind w:left="950" w:right="950"/>
      <w:jc w:val="center"/>
    </w:pPr>
    <w:rPr>
      <w:rFonts w:ascii="Calibri" w:hAnsi="Calibri" w:eastAsia="Times New Roman" w:cstheme="minorBidi"/>
      <w:i/>
      <w:color w:val="5B9BD5"/>
      <w:sz w:val="21"/>
      <w:szCs w:val="21"/>
      <w:lang w:val="en-US" w:eastAsia="zh-CN" w:bidi="ar-SA"/>
    </w:rPr>
  </w:style>
  <w:style w:type="character" w:customStyle="1" w:styleId="68">
    <w:name w:val="明显引用 Char"/>
    <w:basedOn w:val="32"/>
    <w:link w:val="67"/>
    <w:qFormat/>
    <w:uiPriority w:val="0"/>
    <w:rPr>
      <w:rFonts w:eastAsia="Times New Roman" w:cstheme="minorBidi"/>
      <w:i/>
      <w:color w:val="5B9BD5"/>
      <w:sz w:val="21"/>
      <w:szCs w:val="21"/>
    </w:rPr>
  </w:style>
  <w:style w:type="character" w:customStyle="1" w:styleId="69">
    <w:name w:val="不明显参考1"/>
    <w:qFormat/>
    <w:uiPriority w:val="23"/>
    <w:rPr>
      <w:smallCaps/>
      <w:color w:val="5A5A5A"/>
      <w:w w:val="100"/>
      <w:sz w:val="21"/>
      <w:szCs w:val="21"/>
      <w:shd w:val="clear" w:color="auto" w:fill="auto"/>
    </w:rPr>
  </w:style>
  <w:style w:type="character" w:customStyle="1" w:styleId="70">
    <w:name w:val="明显参考1"/>
    <w:qFormat/>
    <w:uiPriority w:val="24"/>
    <w:rPr>
      <w:b/>
      <w:smallCaps/>
      <w:color w:val="5B9BD5"/>
      <w:w w:val="100"/>
      <w:sz w:val="21"/>
      <w:szCs w:val="21"/>
      <w:shd w:val="clear" w:color="auto" w:fill="auto"/>
    </w:rPr>
  </w:style>
  <w:style w:type="character" w:customStyle="1" w:styleId="71">
    <w:name w:val="书籍标题1"/>
    <w:qFormat/>
    <w:uiPriority w:val="25"/>
    <w:rPr>
      <w:b/>
      <w:i/>
      <w:w w:val="100"/>
      <w:sz w:val="21"/>
      <w:szCs w:val="21"/>
      <w:shd w:val="clear" w:color="auto" w:fill="auto"/>
    </w:rPr>
  </w:style>
  <w:style w:type="table" w:customStyle="1" w:styleId="72">
    <w:name w:val="网格型浅色1"/>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paragraph" w:customStyle="1" w:styleId="73">
    <w:name w:val="TOC 标题11"/>
    <w:basedOn w:val="2"/>
    <w:next w:val="1"/>
    <w:unhideWhenUsed/>
    <w:qFormat/>
    <w:uiPriority w:val="0"/>
    <w:pPr>
      <w:widowControl/>
      <w:spacing w:before="0" w:after="0" w:line="240" w:lineRule="auto"/>
    </w:pPr>
    <w:rPr>
      <w:rFonts w:ascii="Cambria" w:hAnsi="Cambria" w:cstheme="minorBidi"/>
      <w:bCs w:val="0"/>
      <w:color w:val="376092" w:themeColor="accent1" w:themeShade="BF"/>
      <w:kern w:val="0"/>
      <w:sz w:val="28"/>
      <w:szCs w:val="28"/>
    </w:rPr>
  </w:style>
  <w:style w:type="paragraph" w:customStyle="1" w:styleId="74">
    <w:name w:val="TOC 标题111"/>
    <w:basedOn w:val="2"/>
    <w:next w:val="1"/>
    <w:unhideWhenUsed/>
    <w:qFormat/>
    <w:uiPriority w:val="0"/>
    <w:pPr>
      <w:widowControl/>
      <w:spacing w:before="0" w:after="0" w:line="240" w:lineRule="auto"/>
    </w:pPr>
    <w:rPr>
      <w:rFonts w:ascii="Cambria" w:hAnsi="Cambria" w:cstheme="minorBidi"/>
      <w:bCs w:val="0"/>
      <w:color w:val="376092" w:themeColor="accent1" w:themeShade="BF"/>
      <w:kern w:val="0"/>
      <w:sz w:val="28"/>
      <w:szCs w:val="28"/>
    </w:rPr>
  </w:style>
  <w:style w:type="character" w:customStyle="1" w:styleId="75">
    <w:name w:val="不明显强调11"/>
    <w:qFormat/>
    <w:uiPriority w:val="0"/>
    <w:rPr>
      <w:i/>
      <w:color w:val="404040"/>
      <w:w w:val="100"/>
      <w:sz w:val="21"/>
      <w:szCs w:val="21"/>
      <w:shd w:val="clear" w:color="000000" w:fill="auto"/>
    </w:rPr>
  </w:style>
  <w:style w:type="character" w:customStyle="1" w:styleId="76">
    <w:name w:val="明显强调11"/>
    <w:qFormat/>
    <w:uiPriority w:val="0"/>
    <w:rPr>
      <w:i/>
      <w:color w:val="5B9BD5"/>
      <w:w w:val="100"/>
      <w:sz w:val="21"/>
      <w:szCs w:val="21"/>
      <w:shd w:val="clear" w:color="000000" w:fill="auto"/>
    </w:rPr>
  </w:style>
  <w:style w:type="character" w:customStyle="1" w:styleId="77">
    <w:name w:val="不明显参考11"/>
    <w:qFormat/>
    <w:uiPriority w:val="0"/>
    <w:rPr>
      <w:smallCaps/>
      <w:color w:val="5A5A5A"/>
      <w:w w:val="100"/>
      <w:sz w:val="21"/>
      <w:szCs w:val="21"/>
      <w:shd w:val="clear" w:color="000000" w:fill="auto"/>
    </w:rPr>
  </w:style>
  <w:style w:type="character" w:customStyle="1" w:styleId="78">
    <w:name w:val="明显参考11"/>
    <w:qFormat/>
    <w:uiPriority w:val="0"/>
    <w:rPr>
      <w:b/>
      <w:smallCaps/>
      <w:color w:val="5B9BD5"/>
      <w:w w:val="100"/>
      <w:sz w:val="21"/>
      <w:szCs w:val="21"/>
      <w:shd w:val="clear" w:color="000000" w:fill="auto"/>
    </w:rPr>
  </w:style>
  <w:style w:type="character" w:customStyle="1" w:styleId="79">
    <w:name w:val="书籍标题11"/>
    <w:qFormat/>
    <w:uiPriority w:val="0"/>
    <w:rPr>
      <w:b/>
      <w:i/>
      <w:w w:val="100"/>
      <w:sz w:val="21"/>
      <w:szCs w:val="21"/>
      <w:shd w:val="clear" w:color="000000" w:fill="auto"/>
    </w:rPr>
  </w:style>
  <w:style w:type="paragraph" w:customStyle="1" w:styleId="80">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81">
    <w:name w:val="msolistparagraph"/>
    <w:basedOn w:val="1"/>
    <w:qFormat/>
    <w:uiPriority w:val="0"/>
    <w:pPr>
      <w:ind w:firstLine="420" w:firstLineChars="200"/>
    </w:pPr>
    <w:rPr>
      <w:rFonts w:ascii="Times New Roman" w:hAnsi="Times New Roman"/>
      <w:szCs w:val="20"/>
    </w:rPr>
  </w:style>
  <w:style w:type="character" w:customStyle="1" w:styleId="82">
    <w:name w:val="文档结构图 Char"/>
    <w:basedOn w:val="32"/>
    <w:link w:val="12"/>
    <w:semiHidden/>
    <w:qFormat/>
    <w:uiPriority w:val="99"/>
    <w:rPr>
      <w:rFonts w:ascii="宋体" w:hAnsiTheme="minorHAnsi" w:cstheme="minorBidi"/>
      <w:kern w:val="2"/>
      <w:sz w:val="18"/>
      <w:szCs w:val="18"/>
    </w:rPr>
  </w:style>
  <w:style w:type="character" w:customStyle="1" w:styleId="83">
    <w:name w:val="无间隔 Char"/>
    <w:basedOn w:val="32"/>
    <w:link w:val="62"/>
    <w:qFormat/>
    <w:uiPriority w:val="1"/>
    <w:rPr>
      <w:rFonts w:eastAsia="Times New Roman" w:cstheme="minorBidi"/>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chart" Target="charts/chart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'1-1-3'!$M$4</c:f>
              <c:strCache>
                <c:ptCount val="1"/>
                <c:pt idx="0">
                  <c:v>2017-2018学年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'1-1-3'!$N$3:$P$3</c:f>
              <c:strCache>
                <c:ptCount val="3"/>
                <c:pt idx="0">
                  <c:v>在校生数（人）</c:v>
                </c:pt>
                <c:pt idx="1">
                  <c:v>毕业生数（人）</c:v>
                </c:pt>
                <c:pt idx="2">
                  <c:v>招生数（人）</c:v>
                </c:pt>
              </c:strCache>
            </c:strRef>
          </c:cat>
          <c:val>
            <c:numRef>
              <c:f>'1-1-3'!$N$4:$P$4</c:f>
              <c:numCache>
                <c:formatCode>General</c:formatCode>
                <c:ptCount val="3"/>
                <c:pt idx="0">
                  <c:v>1672</c:v>
                </c:pt>
                <c:pt idx="1">
                  <c:v>402</c:v>
                </c:pt>
                <c:pt idx="2">
                  <c:v>674</c:v>
                </c:pt>
              </c:numCache>
            </c:numRef>
          </c:val>
        </c:ser>
        <c:ser>
          <c:idx val="1"/>
          <c:order val="1"/>
          <c:tx>
            <c:strRef>
              <c:f>'1-1-3'!$M$5</c:f>
              <c:strCache>
                <c:ptCount val="1"/>
                <c:pt idx="0">
                  <c:v>2018-2019学年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'1-1-3'!$N$3:$P$3</c:f>
              <c:strCache>
                <c:ptCount val="3"/>
                <c:pt idx="0">
                  <c:v>在校生数（人）</c:v>
                </c:pt>
                <c:pt idx="1">
                  <c:v>毕业生数（人）</c:v>
                </c:pt>
                <c:pt idx="2">
                  <c:v>招生数（人）</c:v>
                </c:pt>
              </c:strCache>
            </c:strRef>
          </c:cat>
          <c:val>
            <c:numRef>
              <c:f>'1-1-3'!$N$5:$P$5</c:f>
              <c:numCache>
                <c:formatCode>General</c:formatCode>
                <c:ptCount val="3"/>
                <c:pt idx="0">
                  <c:v>2163</c:v>
                </c:pt>
                <c:pt idx="1">
                  <c:v>662</c:v>
                </c:pt>
                <c:pt idx="2">
                  <c:v>839</c:v>
                </c:pt>
              </c:numCache>
            </c:numRef>
          </c:val>
        </c:ser>
        <c:dLbls>
          <c:showLegendKey val="0"/>
          <c:showVal val="0"/>
          <c:showCatName val="0"/>
          <c:showSerName val="0"/>
          <c:showPercent val="0"/>
          <c:showBubbleSize val="0"/>
        </c:dLbls>
        <c:gapWidth val="150"/>
        <c:axId val="190321024"/>
        <c:axId val="190322944"/>
      </c:barChart>
      <c:catAx>
        <c:axId val="19032102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322944"/>
        <c:crosses val="autoZero"/>
        <c:auto val="1"/>
        <c:lblAlgn val="ctr"/>
        <c:lblOffset val="100"/>
        <c:noMultiLvlLbl val="0"/>
      </c:catAx>
      <c:valAx>
        <c:axId val="19032294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032102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13E3A0-B97C-4EEA-8C21-70605EFA8E5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27750</Words>
  <Characters>29626</Characters>
  <Lines>239</Lines>
  <Paragraphs>67</Paragraphs>
  <TotalTime>162</TotalTime>
  <ScaleCrop>false</ScaleCrop>
  <LinksUpToDate>false</LinksUpToDate>
  <CharactersWithSpaces>30161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2020-01-13T09:23:00Z</dcterms:created>
  <dc:creator>Administrator</dc:creator>
  <cp:lastModifiedBy>熊忠有</cp:lastModifiedBy>
  <cp:lastPrinted>2019-02-24T16:04:00Z</cp:lastPrinted>
  <dcterms:modified xsi:type="dcterms:W3CDTF">2020-01-16T10:47:57Z</dcterms:modified>
  <dc:title>附件1</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